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2070"/>
        <w:gridCol w:w="4590"/>
        <w:gridCol w:w="2340"/>
        <w:gridCol w:w="1436"/>
      </w:tblGrid>
      <w:tr w:rsidR="003F2081" w:rsidRPr="00636FE4" w:rsidTr="00757842">
        <w:trPr>
          <w:cantSplit/>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bookmarkStart w:id="0" w:name="_GoBack"/>
            <w:bookmarkEnd w:id="0"/>
            <w:r w:rsidRPr="00757842">
              <w:rPr>
                <w:rStyle w:val="Strong"/>
                <w:rFonts w:ascii="Arial Narrow Bold" w:hAnsi="Arial Narrow Bold" w:cs="Tahoma"/>
                <w:color w:val="FFFFFF"/>
                <w:sz w:val="18"/>
                <w:szCs w:val="18"/>
              </w:rPr>
              <w:t>#</w:t>
            </w:r>
          </w:p>
        </w:tc>
        <w:tc>
          <w:tcPr>
            <w:tcW w:w="2070" w:type="dxa"/>
            <w:tcBorders>
              <w:top w:val="single" w:sz="8" w:space="0" w:color="auto"/>
              <w:left w:val="single" w:sz="6" w:space="0" w:color="FFFFFF"/>
              <w:bottom w:val="single" w:sz="6" w:space="0" w:color="000000"/>
              <w:right w:val="single" w:sz="6" w:space="0" w:color="FFFFFF"/>
            </w:tcBorders>
            <w:shd w:val="clear" w:color="auto" w:fill="003366"/>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t>Output Measure</w:t>
            </w:r>
          </w:p>
        </w:tc>
        <w:tc>
          <w:tcPr>
            <w:tcW w:w="4590" w:type="dxa"/>
            <w:tcBorders>
              <w:top w:val="single" w:sz="8" w:space="0" w:color="auto"/>
              <w:left w:val="single" w:sz="6" w:space="0" w:color="FFFFFF"/>
              <w:bottom w:val="single" w:sz="6" w:space="0" w:color="000000"/>
              <w:right w:val="single" w:sz="6" w:space="0" w:color="FFFFFF"/>
            </w:tcBorders>
            <w:shd w:val="clear" w:color="auto" w:fill="003366"/>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t>Definition</w:t>
            </w:r>
          </w:p>
        </w:tc>
        <w:tc>
          <w:tcPr>
            <w:tcW w:w="2340"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t>Data Grantee Provides</w:t>
            </w:r>
          </w:p>
        </w:tc>
        <w:tc>
          <w:tcPr>
            <w:tcW w:w="1436" w:type="dxa"/>
            <w:tcBorders>
              <w:top w:val="single" w:sz="8" w:space="0" w:color="auto"/>
              <w:left w:val="single" w:sz="6" w:space="0" w:color="FFFFFF"/>
              <w:bottom w:val="single" w:sz="6" w:space="0" w:color="000000"/>
              <w:right w:val="single" w:sz="8" w:space="0" w:color="auto"/>
            </w:tcBorders>
            <w:shd w:val="clear" w:color="auto" w:fill="003366"/>
          </w:tcPr>
          <w:p w:rsidR="003F2081" w:rsidRPr="00757842" w:rsidRDefault="003F2081" w:rsidP="00293CED">
            <w:pPr>
              <w:keepLines/>
              <w:spacing w:after="0" w:line="240" w:lineRule="auto"/>
              <w:rPr>
                <w:rStyle w:val="Strong"/>
                <w:rFonts w:ascii="Arial Narrow Bold" w:hAnsi="Arial Narrow Bold" w:cs="Tahoma"/>
                <w:color w:val="FFFFFF"/>
                <w:sz w:val="18"/>
                <w:szCs w:val="18"/>
              </w:rPr>
            </w:pPr>
            <w:r w:rsidRPr="00757842">
              <w:rPr>
                <w:rStyle w:val="Strong"/>
                <w:rFonts w:ascii="Arial Narrow Bold" w:hAnsi="Arial Narrow Bold" w:cs="Tahoma"/>
                <w:color w:val="FFFFFF"/>
                <w:sz w:val="18"/>
                <w:szCs w:val="18"/>
              </w:rPr>
              <w:t>Record Data Here</w:t>
            </w: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bCs/>
                <w:color w:val="000000"/>
                <w:sz w:val="18"/>
                <w:szCs w:val="17"/>
              </w:rPr>
            </w:pPr>
            <w:r w:rsidRPr="00496B95">
              <w:rPr>
                <w:rFonts w:ascii="Arial Narrow" w:hAnsi="Arial Narrow" w:cs="Tahoma"/>
                <w:bCs/>
                <w:color w:val="000000"/>
                <w:sz w:val="18"/>
                <w:szCs w:val="17"/>
              </w:rPr>
              <w:t>Amount of JABG/Tribal JADG funds awarded for system improvement</w:t>
            </w:r>
          </w:p>
          <w:p w:rsidR="003F2081" w:rsidRDefault="003F2081" w:rsidP="00293CED">
            <w:pPr>
              <w:keepLines/>
              <w:spacing w:after="0" w:line="240" w:lineRule="auto"/>
              <w:rPr>
                <w:rFonts w:ascii="Arial Narrow" w:hAnsi="Arial Narrow" w:cs="Tahoma"/>
                <w:bCs/>
                <w:color w:val="000000"/>
                <w:sz w:val="18"/>
                <w:szCs w:val="17"/>
              </w:rPr>
            </w:pPr>
          </w:p>
          <w:p w:rsidR="003F2081" w:rsidRDefault="003F2081" w:rsidP="00293CED">
            <w:pPr>
              <w:keepLines/>
              <w:spacing w:after="0" w:line="240" w:lineRule="auto"/>
              <w:rPr>
                <w:rFonts w:ascii="Arial Narrow" w:hAnsi="Arial Narrow" w:cs="Tahoma"/>
                <w:bCs/>
                <w:color w:val="000000"/>
                <w:sz w:val="18"/>
                <w:szCs w:val="17"/>
              </w:rPr>
            </w:pPr>
            <w:r w:rsidRPr="00496B95">
              <w:rPr>
                <w:rFonts w:ascii="Arial Narrow" w:hAnsi="Arial Narrow" w:cs="Tahoma"/>
                <w:bCs/>
                <w:color w:val="000000"/>
                <w:sz w:val="18"/>
                <w:szCs w:val="17"/>
              </w:rPr>
              <w:t>Direct Service and System Improvements Mandatory</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340"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Funds awarded to program for services</w:t>
            </w:r>
          </w:p>
          <w:p w:rsidR="003F2081" w:rsidRDefault="003F2081" w:rsidP="00757842">
            <w:pPr>
              <w:keepLines/>
              <w:spacing w:after="0" w:line="240" w:lineRule="auto"/>
              <w:ind w:left="243" w:hanging="220"/>
              <w:rPr>
                <w:rFonts w:ascii="Arial Narrow" w:hAnsi="Arial Narrow" w:cs="Tahoma"/>
                <w:color w:val="000000"/>
                <w:sz w:val="18"/>
                <w:szCs w:val="17"/>
              </w:rPr>
            </w:pP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units of local government (ULG) or tribal equivalent that have automated data systems</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Determine level of automated data system. Most appropriate for State, county-level grantees, Tribal, or regional grantees or grantees that encompass more than one ULG or tribal equivalent. Report the raw number of ULGs or tribal equivalent that have at least partial automation of their juvenile justice data systems. This could include things like electronic youth assessment processes that do not require hardcopies, electronic data request procedures, centralized databases that multiple systems can access, electronic consent forms that once completed automatically allow data access to the specified person(s). Percent is the raw number divided by the total number of ULGs or tribal equivalent under the grantee. </w:t>
            </w:r>
          </w:p>
        </w:tc>
        <w:tc>
          <w:tcPr>
            <w:tcW w:w="2340"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ULGs with automation</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ULGs</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3F2081" w:rsidRDefault="003F2081" w:rsidP="00757842">
            <w:pPr>
              <w:keepLines/>
              <w:spacing w:after="0" w:line="240" w:lineRule="auto"/>
              <w:ind w:left="243" w:hanging="220"/>
              <w:rPr>
                <w:rFonts w:ascii="Arial Narrow" w:hAnsi="Arial Narrow" w:cs="Tahoma"/>
                <w:color w:val="000000"/>
                <w:sz w:val="18"/>
                <w:szCs w:val="17"/>
              </w:rPr>
            </w:pP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cases that are in the automated systems</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Determine the scope of the automation. Most appropriate for grantees that have some level of automation of the juvenile justice records. Report the raw number of justice cases (not individual youth) that have at least some information entered into the data system. This includes things like locator information, screening or assessment data, case management information, probation meeting summaries, or results of drug tests. Percent is the raw number divided by the total number of cases opened or handled by the grantee. </w:t>
            </w:r>
          </w:p>
        </w:tc>
        <w:tc>
          <w:tcPr>
            <w:tcW w:w="2340"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cases with automated information</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cases total</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3F2081" w:rsidRDefault="003F2081" w:rsidP="00757842">
            <w:pPr>
              <w:keepLines/>
              <w:spacing w:after="0" w:line="240" w:lineRule="auto"/>
              <w:ind w:left="243" w:hanging="220"/>
              <w:rPr>
                <w:rFonts w:ascii="Arial Narrow" w:hAnsi="Arial Narrow" w:cs="Tahoma"/>
                <w:color w:val="000000"/>
                <w:sz w:val="18"/>
                <w:szCs w:val="17"/>
              </w:rPr>
            </w:pP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data elements that are automated</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Determine the efficiency of the system. Appropriate for grantees that have at least partial data automation. Report the raw number of data elements in the system. Percent is the raw number divided by the number of data elements that exist. For example, each variable could be one of the responses to assessment questions, the responses on forms required for a cases record (e.g., notations about probation or case management meetings), information about treatment, information about the arresting crime, justice charges, judicial status, and service referrals, and youth and family locator information. </w:t>
            </w:r>
          </w:p>
        </w:tc>
        <w:tc>
          <w:tcPr>
            <w:tcW w:w="2340"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variables in system</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variables total</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3F2081" w:rsidRDefault="003F2081" w:rsidP="00757842">
            <w:pPr>
              <w:keepLines/>
              <w:spacing w:after="0" w:line="240" w:lineRule="auto"/>
              <w:ind w:left="243" w:hanging="220"/>
              <w:rPr>
                <w:rFonts w:ascii="Arial Narrow" w:hAnsi="Arial Narrow" w:cs="Tahoma"/>
                <w:color w:val="000000"/>
                <w:sz w:val="18"/>
                <w:szCs w:val="17"/>
              </w:rPr>
            </w:pP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staff trained to use the automated systems</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 xml:space="preserve">Determine system accountability based on the idea that for the system to be useful, staff must be trained to use it. Appropriate for grantees with at least partially automated systems. Report the raw number of </w:t>
            </w:r>
            <w:proofErr w:type="gramStart"/>
            <w:r w:rsidRPr="00496B95">
              <w:rPr>
                <w:rFonts w:ascii="Arial Narrow" w:hAnsi="Arial Narrow" w:cs="Tahoma"/>
                <w:color w:val="000000"/>
                <w:sz w:val="18"/>
                <w:szCs w:val="17"/>
              </w:rPr>
              <w:t>staff</w:t>
            </w:r>
            <w:proofErr w:type="gramEnd"/>
            <w:r w:rsidRPr="00496B95">
              <w:rPr>
                <w:rFonts w:ascii="Arial Narrow" w:hAnsi="Arial Narrow" w:cs="Tahoma"/>
                <w:color w:val="000000"/>
                <w:sz w:val="18"/>
                <w:szCs w:val="17"/>
              </w:rPr>
              <w:t xml:space="preserve"> that have received any amount of formal training about the automated systems. Training can be in any format or medium as long as its receipt can be verified. Training can be from any source as long as it was at least facilitated by the JABG/Tribal JADG funds. Percent is the raw number divided by the total number of grantee staff. </w:t>
            </w:r>
          </w:p>
        </w:tc>
        <w:tc>
          <w:tcPr>
            <w:tcW w:w="2340"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staff strained</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staff</w:t>
            </w:r>
          </w:p>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3F2081" w:rsidRDefault="003F2081" w:rsidP="00757842">
            <w:pPr>
              <w:keepLines/>
              <w:spacing w:after="0" w:line="240" w:lineRule="auto"/>
              <w:ind w:left="243" w:hanging="220"/>
              <w:rPr>
                <w:rFonts w:ascii="Arial Narrow" w:hAnsi="Arial Narrow" w:cs="Tahoma"/>
                <w:color w:val="000000"/>
                <w:sz w:val="18"/>
                <w:szCs w:val="17"/>
              </w:rPr>
            </w:pP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hours of training provided on the automated systems</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Determine system accountability based on the idea that for the system to be useful, staff must be trained to use it. Appropriate for grantees with at least partially automated systems.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 </w:t>
            </w:r>
          </w:p>
        </w:tc>
        <w:tc>
          <w:tcPr>
            <w:tcW w:w="2340"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243" w:hanging="220"/>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hours of training offered</w:t>
            </w:r>
          </w:p>
          <w:p w:rsidR="003F2081" w:rsidRDefault="003F2081" w:rsidP="00757842">
            <w:pPr>
              <w:keepLines/>
              <w:spacing w:after="0" w:line="240" w:lineRule="auto"/>
              <w:ind w:left="243" w:hanging="220"/>
              <w:rPr>
                <w:rFonts w:ascii="Arial Narrow" w:hAnsi="Arial Narrow" w:cs="Tahoma"/>
                <w:color w:val="000000"/>
                <w:sz w:val="18"/>
                <w:szCs w:val="17"/>
              </w:rPr>
            </w:pP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3F2081" w:rsidRPr="001A1B8D" w:rsidRDefault="003F2081" w:rsidP="00293CED">
            <w:pPr>
              <w:keepLines/>
              <w:spacing w:after="0" w:line="218" w:lineRule="atLeast"/>
              <w:rPr>
                <w:rFonts w:ascii="Arial Narrow" w:hAnsi="Arial Narrow" w:cs="Tahoma"/>
                <w:color w:val="000000"/>
                <w:sz w:val="18"/>
                <w:szCs w:val="17"/>
              </w:rPr>
            </w:pPr>
          </w:p>
        </w:tc>
        <w:tc>
          <w:tcPr>
            <w:tcW w:w="4590" w:type="dxa"/>
            <w:tcBorders>
              <w:top w:val="single" w:sz="6" w:space="0" w:color="000000"/>
              <w:bottom w:val="single" w:sz="6" w:space="0" w:color="000000"/>
              <w:right w:val="single" w:sz="6" w:space="0" w:color="000000"/>
            </w:tcBorders>
          </w:tcPr>
          <w:p w:rsidR="003F2081" w:rsidRPr="001A1B8D" w:rsidRDefault="003F2081"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340" w:type="dxa"/>
            <w:tcBorders>
              <w:top w:val="single" w:sz="6" w:space="0" w:color="000000"/>
              <w:bottom w:val="single" w:sz="6" w:space="0" w:color="000000"/>
              <w:right w:val="single" w:sz="6" w:space="0" w:color="000000"/>
            </w:tcBorders>
          </w:tcPr>
          <w:p w:rsidR="003F2081" w:rsidRPr="004211A8" w:rsidRDefault="003F2081" w:rsidP="00757842">
            <w:pPr>
              <w:pStyle w:val="ListParagraph"/>
              <w:keepLines/>
              <w:numPr>
                <w:ilvl w:val="0"/>
                <w:numId w:val="2"/>
              </w:numPr>
              <w:spacing w:after="0" w:line="218" w:lineRule="atLeast"/>
              <w:ind w:left="220" w:hanging="220"/>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3F2081" w:rsidRPr="001A1B8D" w:rsidRDefault="003F2081" w:rsidP="00293CED">
            <w:pPr>
              <w:keepLines/>
              <w:spacing w:after="0" w:line="218" w:lineRule="atLeast"/>
              <w:rPr>
                <w:rFonts w:ascii="Arial Narrow" w:hAnsi="Arial Narrow" w:cs="Tahoma"/>
                <w:color w:val="000000"/>
                <w:sz w:val="18"/>
                <w:szCs w:val="17"/>
              </w:rPr>
            </w:pPr>
          </w:p>
        </w:tc>
        <w:tc>
          <w:tcPr>
            <w:tcW w:w="4590" w:type="dxa"/>
            <w:tcBorders>
              <w:top w:val="single" w:sz="6" w:space="0" w:color="000000"/>
              <w:bottom w:val="single" w:sz="6" w:space="0" w:color="000000"/>
              <w:right w:val="single" w:sz="6" w:space="0" w:color="000000"/>
            </w:tcBorders>
          </w:tcPr>
          <w:p w:rsidR="003F2081" w:rsidRPr="001A1B8D" w:rsidRDefault="003F2081"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340" w:type="dxa"/>
            <w:tcBorders>
              <w:top w:val="single" w:sz="6" w:space="0" w:color="000000"/>
              <w:bottom w:val="single" w:sz="6" w:space="0" w:color="000000"/>
              <w:right w:val="single" w:sz="6" w:space="0" w:color="000000"/>
            </w:tcBorders>
          </w:tcPr>
          <w:p w:rsidR="003F2081" w:rsidRPr="004211A8" w:rsidRDefault="003F2081" w:rsidP="00757842">
            <w:pPr>
              <w:pStyle w:val="ListParagraph"/>
              <w:keepLines/>
              <w:numPr>
                <w:ilvl w:val="0"/>
                <w:numId w:val="3"/>
              </w:numPr>
              <w:spacing w:after="0" w:line="218" w:lineRule="atLeast"/>
              <w:ind w:left="220" w:hanging="220"/>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Pr="0033348B" w:rsidRDefault="003F2081"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590" w:type="dxa"/>
            <w:tcBorders>
              <w:top w:val="single" w:sz="6" w:space="0" w:color="000000"/>
              <w:bottom w:val="single" w:sz="6" w:space="0" w:color="000000"/>
              <w:right w:val="single" w:sz="6" w:space="0" w:color="000000"/>
            </w:tcBorders>
          </w:tcPr>
          <w:p w:rsidR="003F2081" w:rsidRPr="0033348B" w:rsidRDefault="003F2081"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340" w:type="dxa"/>
            <w:tcBorders>
              <w:top w:val="single" w:sz="6" w:space="0" w:color="000000"/>
              <w:bottom w:val="single" w:sz="6" w:space="0" w:color="000000"/>
              <w:right w:val="single" w:sz="6" w:space="0" w:color="000000"/>
            </w:tcBorders>
          </w:tcPr>
          <w:p w:rsidR="003F2081" w:rsidRPr="0033348B" w:rsidRDefault="003F2081" w:rsidP="00757842">
            <w:pPr>
              <w:pStyle w:val="ListParagraph"/>
              <w:keepLines/>
              <w:numPr>
                <w:ilvl w:val="0"/>
                <w:numId w:val="4"/>
              </w:numPr>
              <w:spacing w:after="0" w:line="218" w:lineRule="atLeast"/>
              <w:ind w:left="220" w:hanging="220"/>
              <w:rPr>
                <w:rFonts w:ascii="Arial Narrow" w:hAnsi="Arial Narrow" w:cs="Tahoma"/>
                <w:sz w:val="18"/>
                <w:szCs w:val="18"/>
              </w:rPr>
            </w:pPr>
            <w:r w:rsidRPr="007F4E33">
              <w:rPr>
                <w:rFonts w:ascii="Arial Narrow" w:hAnsi="Arial Narrow" w:cs="Tahoma"/>
                <w:sz w:val="18"/>
                <w:szCs w:val="18"/>
              </w:rPr>
              <w:t>Number of program materials developed</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Pr="0040497B" w:rsidRDefault="003F2081"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590" w:type="dxa"/>
            <w:tcBorders>
              <w:top w:val="single" w:sz="6" w:space="0" w:color="000000"/>
              <w:bottom w:val="single" w:sz="6" w:space="0" w:color="000000"/>
              <w:right w:val="single" w:sz="6" w:space="0" w:color="000000"/>
            </w:tcBorders>
          </w:tcPr>
          <w:p w:rsidR="003F2081" w:rsidRPr="0040497B" w:rsidRDefault="003F2081"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340" w:type="dxa"/>
            <w:tcBorders>
              <w:top w:val="single" w:sz="6" w:space="0" w:color="000000"/>
              <w:bottom w:val="single" w:sz="6" w:space="0" w:color="000000"/>
              <w:right w:val="single" w:sz="6" w:space="0" w:color="000000"/>
            </w:tcBorders>
          </w:tcPr>
          <w:p w:rsidR="003F2081" w:rsidRPr="004211A8" w:rsidRDefault="003F2081" w:rsidP="00757842">
            <w:pPr>
              <w:pStyle w:val="ListParagraph"/>
              <w:keepLines/>
              <w:numPr>
                <w:ilvl w:val="0"/>
                <w:numId w:val="5"/>
              </w:numPr>
              <w:spacing w:after="0" w:line="218" w:lineRule="atLeast"/>
              <w:ind w:left="220" w:hanging="22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Pr="0033348B" w:rsidRDefault="003F2081" w:rsidP="00293CED">
            <w:pPr>
              <w:spacing w:after="0" w:line="240" w:lineRule="auto"/>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590" w:type="dxa"/>
            <w:tcBorders>
              <w:top w:val="single" w:sz="6" w:space="0" w:color="000000"/>
              <w:bottom w:val="single" w:sz="6" w:space="0" w:color="000000"/>
              <w:right w:val="single" w:sz="6" w:space="0" w:color="000000"/>
            </w:tcBorders>
          </w:tcPr>
          <w:p w:rsidR="003F2081" w:rsidRPr="0033348B" w:rsidRDefault="003F2081"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340" w:type="dxa"/>
            <w:tcBorders>
              <w:top w:val="single" w:sz="6" w:space="0" w:color="000000"/>
              <w:bottom w:val="single" w:sz="6" w:space="0" w:color="000000"/>
              <w:right w:val="single" w:sz="6" w:space="0" w:color="000000"/>
            </w:tcBorders>
          </w:tcPr>
          <w:p w:rsidR="003F2081" w:rsidRPr="0033348B" w:rsidRDefault="003F2081" w:rsidP="00757842">
            <w:pPr>
              <w:pStyle w:val="ListParagraph"/>
              <w:keepLines/>
              <w:numPr>
                <w:ilvl w:val="0"/>
                <w:numId w:val="6"/>
              </w:numPr>
              <w:spacing w:after="0" w:line="218" w:lineRule="atLeast"/>
              <w:ind w:left="220" w:hanging="220"/>
              <w:rPr>
                <w:rFonts w:ascii="Arial Narrow" w:hAnsi="Arial Narrow" w:cs="Tahoma"/>
                <w:sz w:val="18"/>
                <w:szCs w:val="18"/>
              </w:rPr>
            </w:pPr>
            <w:r w:rsidRPr="007F4E33">
              <w:rPr>
                <w:rFonts w:ascii="Arial Narrow" w:hAnsi="Arial Narrow" w:cs="Tahoma"/>
                <w:sz w:val="18"/>
                <w:szCs w:val="18"/>
              </w:rPr>
              <w:t>Number of people trained</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3F2081" w:rsidRPr="001A1B8D" w:rsidRDefault="003F2081" w:rsidP="00293CED">
            <w:pPr>
              <w:keepLines/>
              <w:spacing w:after="0" w:line="218" w:lineRule="atLeast"/>
              <w:rPr>
                <w:rFonts w:ascii="Arial Narrow" w:hAnsi="Arial Narrow" w:cs="Tahoma"/>
                <w:color w:val="000000"/>
                <w:sz w:val="18"/>
                <w:szCs w:val="17"/>
              </w:rPr>
            </w:pPr>
          </w:p>
        </w:tc>
        <w:tc>
          <w:tcPr>
            <w:tcW w:w="4590" w:type="dxa"/>
            <w:tcBorders>
              <w:top w:val="single" w:sz="6" w:space="0" w:color="000000"/>
              <w:bottom w:val="single" w:sz="6" w:space="0" w:color="000000"/>
              <w:right w:val="single" w:sz="6" w:space="0" w:color="000000"/>
            </w:tcBorders>
          </w:tcPr>
          <w:p w:rsidR="003F2081" w:rsidRPr="001A1B8D" w:rsidRDefault="003F2081"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340" w:type="dxa"/>
            <w:tcBorders>
              <w:top w:val="single" w:sz="6" w:space="0" w:color="000000"/>
              <w:bottom w:val="single" w:sz="6" w:space="0" w:color="000000"/>
              <w:right w:val="single" w:sz="6" w:space="0" w:color="000000"/>
            </w:tcBorders>
          </w:tcPr>
          <w:p w:rsidR="003F2081" w:rsidRPr="0040497B" w:rsidRDefault="003F2081" w:rsidP="00757842">
            <w:pPr>
              <w:keepLines/>
              <w:numPr>
                <w:ilvl w:val="0"/>
                <w:numId w:val="7"/>
              </w:numPr>
              <w:tabs>
                <w:tab w:val="left" w:pos="288"/>
              </w:tabs>
              <w:spacing w:after="0" w:line="240" w:lineRule="auto"/>
              <w:ind w:left="220" w:hanging="22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3F2081" w:rsidRPr="0040497B" w:rsidRDefault="003F2081" w:rsidP="00757842">
            <w:pPr>
              <w:keepLines/>
              <w:numPr>
                <w:ilvl w:val="0"/>
                <w:numId w:val="7"/>
              </w:numPr>
              <w:tabs>
                <w:tab w:val="left" w:pos="288"/>
              </w:tabs>
              <w:spacing w:after="0" w:line="240" w:lineRule="auto"/>
              <w:ind w:left="220" w:hanging="220"/>
              <w:rPr>
                <w:rFonts w:ascii="Arial Narrow" w:hAnsi="Arial Narrow" w:cs="Tahoma"/>
                <w:sz w:val="18"/>
                <w:szCs w:val="18"/>
              </w:rPr>
            </w:pPr>
            <w:r w:rsidRPr="0040497B">
              <w:rPr>
                <w:rFonts w:ascii="Arial Narrow" w:hAnsi="Arial Narrow" w:cs="Tahoma"/>
                <w:sz w:val="18"/>
                <w:szCs w:val="18"/>
              </w:rPr>
              <w:t>Number of programs served by TTA</w:t>
            </w:r>
          </w:p>
          <w:p w:rsidR="003F2081" w:rsidRPr="0040497B" w:rsidRDefault="003F2081" w:rsidP="00757842">
            <w:pPr>
              <w:keepLines/>
              <w:numPr>
                <w:ilvl w:val="0"/>
                <w:numId w:val="7"/>
              </w:numPr>
              <w:tabs>
                <w:tab w:val="left" w:pos="288"/>
              </w:tabs>
              <w:spacing w:after="0" w:line="240" w:lineRule="auto"/>
              <w:ind w:left="220" w:hanging="22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3F2081" w:rsidRPr="00417A72" w:rsidRDefault="003F2081" w:rsidP="00293CED">
            <w:pPr>
              <w:keepLines/>
              <w:spacing w:after="0" w:line="240" w:lineRule="auto"/>
              <w:rPr>
                <w:rFonts w:ascii="Arial Narrow" w:hAnsi="Arial Narrow" w:cs="Tahoma"/>
                <w:bCs/>
                <w:sz w:val="18"/>
                <w:szCs w:val="18"/>
              </w:rPr>
            </w:pPr>
          </w:p>
        </w:tc>
        <w:tc>
          <w:tcPr>
            <w:tcW w:w="4590" w:type="dxa"/>
            <w:tcBorders>
              <w:top w:val="single" w:sz="6" w:space="0" w:color="000000"/>
              <w:bottom w:val="single" w:sz="6" w:space="0" w:color="000000"/>
              <w:right w:val="single" w:sz="6" w:space="0" w:color="000000"/>
            </w:tcBorders>
          </w:tcPr>
          <w:p w:rsidR="003F2081" w:rsidRPr="00417A72" w:rsidRDefault="003F2081"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340" w:type="dxa"/>
            <w:tcBorders>
              <w:top w:val="single" w:sz="6" w:space="0" w:color="000000"/>
              <w:bottom w:val="single" w:sz="6" w:space="0" w:color="000000"/>
              <w:right w:val="single" w:sz="6" w:space="0" w:color="000000"/>
            </w:tcBorders>
          </w:tcPr>
          <w:p w:rsidR="003F2081" w:rsidRPr="0040497B" w:rsidRDefault="003F2081" w:rsidP="00757842">
            <w:pPr>
              <w:keepLines/>
              <w:numPr>
                <w:ilvl w:val="0"/>
                <w:numId w:val="1"/>
              </w:numPr>
              <w:tabs>
                <w:tab w:val="left" w:pos="285"/>
              </w:tabs>
              <w:spacing w:after="0" w:line="240" w:lineRule="auto"/>
              <w:ind w:left="220" w:hanging="22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3F2081" w:rsidRPr="0040497B" w:rsidRDefault="003F2081" w:rsidP="00757842">
            <w:pPr>
              <w:keepLines/>
              <w:numPr>
                <w:ilvl w:val="0"/>
                <w:numId w:val="1"/>
              </w:numPr>
              <w:tabs>
                <w:tab w:val="left" w:pos="288"/>
              </w:tabs>
              <w:spacing w:after="0" w:line="240" w:lineRule="auto"/>
              <w:ind w:left="220" w:hanging="22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3F2081" w:rsidRPr="00904641" w:rsidRDefault="003F2081" w:rsidP="00293CED">
            <w:pPr>
              <w:keepLines/>
              <w:spacing w:after="0" w:line="240" w:lineRule="auto"/>
              <w:rPr>
                <w:rFonts w:ascii="Arial Narrow" w:hAnsi="Arial Narrow" w:cs="Tahoma"/>
                <w:bCs/>
                <w:sz w:val="18"/>
                <w:szCs w:val="18"/>
              </w:rPr>
            </w:pPr>
          </w:p>
        </w:tc>
        <w:tc>
          <w:tcPr>
            <w:tcW w:w="4590" w:type="dxa"/>
            <w:tcBorders>
              <w:top w:val="single" w:sz="6" w:space="0" w:color="000000"/>
              <w:bottom w:val="single" w:sz="6" w:space="0" w:color="000000"/>
              <w:right w:val="single" w:sz="6" w:space="0" w:color="000000"/>
            </w:tcBorders>
          </w:tcPr>
          <w:p w:rsidR="003F2081" w:rsidRPr="00904641" w:rsidRDefault="003F2081"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340" w:type="dxa"/>
            <w:tcBorders>
              <w:top w:val="single" w:sz="6" w:space="0" w:color="000000"/>
              <w:bottom w:val="single" w:sz="6" w:space="0" w:color="000000"/>
              <w:right w:val="single" w:sz="6" w:space="0" w:color="000000"/>
            </w:tcBorders>
          </w:tcPr>
          <w:p w:rsidR="003F2081" w:rsidRPr="0040497B" w:rsidRDefault="003F2081" w:rsidP="003F2081">
            <w:pPr>
              <w:keepLines/>
              <w:numPr>
                <w:ilvl w:val="0"/>
                <w:numId w:val="8"/>
              </w:numPr>
              <w:tabs>
                <w:tab w:val="left" w:pos="288"/>
              </w:tabs>
              <w:spacing w:after="0" w:line="240" w:lineRule="auto"/>
              <w:ind w:left="310" w:hanging="31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3F2081" w:rsidRPr="0040497B" w:rsidRDefault="003F2081" w:rsidP="003F2081">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3F2081" w:rsidRPr="0040497B" w:rsidRDefault="003F2081" w:rsidP="003F2081">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436" w:type="dxa"/>
            <w:tcBorders>
              <w:top w:val="single" w:sz="6" w:space="0" w:color="000000"/>
              <w:bottom w:val="single" w:sz="6" w:space="0" w:color="000000"/>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r w:rsidR="003F2081" w:rsidRPr="00496B95" w:rsidTr="00757842">
        <w:trPr>
          <w:cantSplit/>
        </w:trPr>
        <w:tc>
          <w:tcPr>
            <w:tcW w:w="345" w:type="dxa"/>
            <w:tcBorders>
              <w:top w:val="single" w:sz="6" w:space="0" w:color="000000"/>
              <w:left w:val="single" w:sz="8" w:space="0" w:color="auto"/>
              <w:bottom w:val="single" w:sz="8" w:space="0" w:color="auto"/>
            </w:tcBorders>
          </w:tcPr>
          <w:p w:rsidR="003F2081" w:rsidRPr="00FA6131" w:rsidRDefault="003F2081" w:rsidP="00FA6131">
            <w:pPr>
              <w:pStyle w:val="ListParagraph"/>
              <w:keepLines/>
              <w:numPr>
                <w:ilvl w:val="0"/>
                <w:numId w:val="10"/>
              </w:numPr>
              <w:spacing w:after="0" w:line="218" w:lineRule="atLeast"/>
              <w:rPr>
                <w:rFonts w:ascii="Arial Narrow" w:hAnsi="Arial Narrow" w:cs="Tahoma"/>
                <w:color w:val="000000"/>
                <w:sz w:val="18"/>
                <w:szCs w:val="17"/>
              </w:rPr>
            </w:pPr>
          </w:p>
        </w:tc>
        <w:tc>
          <w:tcPr>
            <w:tcW w:w="2070" w:type="dxa"/>
            <w:tcBorders>
              <w:top w:val="single" w:sz="6" w:space="0" w:color="000000"/>
              <w:left w:val="single" w:sz="6" w:space="0" w:color="000000"/>
              <w:bottom w:val="single" w:sz="8" w:space="0" w:color="auto"/>
              <w:right w:val="single" w:sz="6" w:space="0" w:color="000000"/>
            </w:tcBorders>
          </w:tcPr>
          <w:p w:rsidR="003F2081" w:rsidRPr="0033348B" w:rsidRDefault="003F2081"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590" w:type="dxa"/>
            <w:tcBorders>
              <w:top w:val="single" w:sz="6" w:space="0" w:color="000000"/>
              <w:bottom w:val="single" w:sz="8" w:space="0" w:color="auto"/>
              <w:right w:val="single" w:sz="6" w:space="0" w:color="000000"/>
            </w:tcBorders>
          </w:tcPr>
          <w:p w:rsidR="003F2081" w:rsidRPr="0033348B" w:rsidRDefault="003F2081"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340" w:type="dxa"/>
            <w:tcBorders>
              <w:top w:val="single" w:sz="6" w:space="0" w:color="000000"/>
              <w:bottom w:val="single" w:sz="8" w:space="0" w:color="auto"/>
              <w:right w:val="single" w:sz="6" w:space="0" w:color="000000"/>
            </w:tcBorders>
          </w:tcPr>
          <w:p w:rsidR="003F2081" w:rsidRPr="0040497B" w:rsidRDefault="003F2081" w:rsidP="003F2081">
            <w:pPr>
              <w:keepLines/>
              <w:numPr>
                <w:ilvl w:val="0"/>
                <w:numId w:val="9"/>
              </w:numPr>
              <w:tabs>
                <w:tab w:val="left" w:pos="288"/>
              </w:tabs>
              <w:spacing w:after="0" w:line="240" w:lineRule="auto"/>
              <w:ind w:left="310" w:hanging="31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3F2081" w:rsidRPr="0040497B" w:rsidRDefault="003F2081" w:rsidP="003F2081">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3F2081" w:rsidRPr="0040497B" w:rsidRDefault="003F2081" w:rsidP="003F2081">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436" w:type="dxa"/>
            <w:tcBorders>
              <w:top w:val="single" w:sz="6" w:space="0" w:color="000000"/>
              <w:bottom w:val="single" w:sz="8" w:space="0" w:color="auto"/>
              <w:right w:val="single" w:sz="8" w:space="0" w:color="auto"/>
            </w:tcBorders>
          </w:tcPr>
          <w:p w:rsidR="003F2081" w:rsidRDefault="003F2081" w:rsidP="00293CED">
            <w:pPr>
              <w:keepLines/>
              <w:spacing w:after="0" w:line="218" w:lineRule="atLeast"/>
              <w:rPr>
                <w:rFonts w:ascii="Arial Narrow" w:hAnsi="Arial Narrow" w:cs="Tahoma"/>
                <w:color w:val="000000"/>
                <w:sz w:val="18"/>
                <w:szCs w:val="17"/>
              </w:rPr>
            </w:pPr>
          </w:p>
        </w:tc>
      </w:tr>
    </w:tbl>
    <w:p w:rsidR="007F62EE" w:rsidRDefault="007F62EE"/>
    <w:p w:rsidR="003F2081" w:rsidRDefault="003F2081"/>
    <w:p w:rsidR="003F2081" w:rsidRDefault="003F2081"/>
    <w:p w:rsidR="003F2081" w:rsidRDefault="003F2081"/>
    <w:p w:rsidR="003F2081" w:rsidRDefault="003F2081"/>
    <w:p w:rsidR="003F2081" w:rsidRDefault="003F2081"/>
    <w:p w:rsidR="003F2081" w:rsidRDefault="003F2081"/>
    <w:p w:rsidR="003F2081" w:rsidRDefault="003F2081"/>
    <w:p w:rsidR="003F2081" w:rsidRDefault="003F2081"/>
    <w:p w:rsidR="003F2081" w:rsidRDefault="003F2081"/>
    <w:p w:rsidR="003F2081" w:rsidRDefault="003F2081"/>
    <w:p w:rsidR="003F2081" w:rsidRDefault="003F2081"/>
    <w:p w:rsidR="003F2081" w:rsidRDefault="003F2081"/>
    <w:p w:rsidR="00757842" w:rsidRDefault="00757842">
      <w:r>
        <w:br w:type="page"/>
      </w:r>
    </w:p>
    <w:tbl>
      <w:tblPr>
        <w:tblW w:w="4994" w:type="pct"/>
        <w:tblCellMar>
          <w:top w:w="75" w:type="dxa"/>
          <w:left w:w="75" w:type="dxa"/>
          <w:bottom w:w="75" w:type="dxa"/>
          <w:right w:w="75" w:type="dxa"/>
        </w:tblCellMar>
        <w:tblLook w:val="0000" w:firstRow="0" w:lastRow="0" w:firstColumn="0" w:lastColumn="0" w:noHBand="0" w:noVBand="0"/>
      </w:tblPr>
      <w:tblGrid>
        <w:gridCol w:w="435"/>
        <w:gridCol w:w="1800"/>
        <w:gridCol w:w="4590"/>
        <w:gridCol w:w="2674"/>
        <w:gridCol w:w="1438"/>
      </w:tblGrid>
      <w:tr w:rsidR="003F2081" w:rsidRPr="00636FE4" w:rsidTr="00635AE9">
        <w:trPr>
          <w:cantSplit/>
          <w:trHeight w:val="205"/>
          <w:tblHeader/>
        </w:trPr>
        <w:tc>
          <w:tcPr>
            <w:tcW w:w="435" w:type="dxa"/>
            <w:tcBorders>
              <w:top w:val="single" w:sz="8" w:space="0" w:color="auto"/>
              <w:left w:val="single" w:sz="8" w:space="0" w:color="auto"/>
              <w:bottom w:val="single" w:sz="6" w:space="0" w:color="000000"/>
              <w:right w:val="single" w:sz="6" w:space="0" w:color="FFFFFF"/>
            </w:tcBorders>
            <w:shd w:val="clear" w:color="auto" w:fill="003366"/>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lastRenderedPageBreak/>
              <w:t>#</w:t>
            </w:r>
          </w:p>
        </w:tc>
        <w:tc>
          <w:tcPr>
            <w:tcW w:w="1800" w:type="dxa"/>
            <w:tcBorders>
              <w:top w:val="single" w:sz="8" w:space="0" w:color="auto"/>
              <w:left w:val="single" w:sz="6" w:space="0" w:color="FFFFFF"/>
              <w:bottom w:val="single" w:sz="6" w:space="0" w:color="000000"/>
              <w:right w:val="single" w:sz="6" w:space="0" w:color="FFFFFF"/>
            </w:tcBorders>
            <w:shd w:val="clear" w:color="auto" w:fill="003366"/>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t>Outcome Measure</w:t>
            </w:r>
          </w:p>
        </w:tc>
        <w:tc>
          <w:tcPr>
            <w:tcW w:w="4590" w:type="dxa"/>
            <w:tcBorders>
              <w:top w:val="single" w:sz="8" w:space="0" w:color="auto"/>
              <w:left w:val="single" w:sz="6" w:space="0" w:color="FFFFFF"/>
              <w:bottom w:val="single" w:sz="6" w:space="0" w:color="000000"/>
              <w:right w:val="single" w:sz="6" w:space="0" w:color="FFFFFF"/>
            </w:tcBorders>
            <w:shd w:val="clear" w:color="auto" w:fill="003366"/>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t>Definition</w:t>
            </w:r>
          </w:p>
        </w:tc>
        <w:tc>
          <w:tcPr>
            <w:tcW w:w="2674"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3F2081" w:rsidRPr="00757842" w:rsidRDefault="003F2081" w:rsidP="00293CED">
            <w:pPr>
              <w:keepLines/>
              <w:spacing w:after="0" w:line="240" w:lineRule="auto"/>
              <w:rPr>
                <w:rFonts w:ascii="Arial Narrow Bold" w:hAnsi="Arial Narrow Bold" w:cs="Tahoma"/>
                <w:b/>
                <w:color w:val="FFFFFF"/>
                <w:sz w:val="18"/>
                <w:szCs w:val="18"/>
              </w:rPr>
            </w:pPr>
            <w:r w:rsidRPr="00757842">
              <w:rPr>
                <w:rStyle w:val="Strong"/>
                <w:rFonts w:ascii="Arial Narrow Bold" w:hAnsi="Arial Narrow Bold" w:cs="Tahoma"/>
                <w:color w:val="FFFFFF"/>
                <w:sz w:val="18"/>
                <w:szCs w:val="18"/>
              </w:rPr>
              <w:t>Data Grantee Provides</w:t>
            </w:r>
          </w:p>
        </w:tc>
        <w:tc>
          <w:tcPr>
            <w:tcW w:w="1438" w:type="dxa"/>
            <w:tcBorders>
              <w:top w:val="single" w:sz="8" w:space="0" w:color="auto"/>
              <w:left w:val="single" w:sz="6" w:space="0" w:color="FFFFFF"/>
              <w:bottom w:val="single" w:sz="6" w:space="0" w:color="000000"/>
              <w:right w:val="single" w:sz="8" w:space="0" w:color="auto"/>
            </w:tcBorders>
            <w:shd w:val="clear" w:color="auto" w:fill="003366"/>
          </w:tcPr>
          <w:p w:rsidR="003F2081" w:rsidRPr="00757842" w:rsidRDefault="003F2081" w:rsidP="00293CED">
            <w:pPr>
              <w:keepLines/>
              <w:spacing w:after="0" w:line="240" w:lineRule="auto"/>
              <w:rPr>
                <w:rStyle w:val="Strong"/>
                <w:rFonts w:ascii="Arial Narrow Bold" w:hAnsi="Arial Narrow Bold" w:cs="Tahoma"/>
                <w:color w:val="FFFFFF"/>
                <w:sz w:val="18"/>
                <w:szCs w:val="18"/>
              </w:rPr>
            </w:pPr>
            <w:r w:rsidRPr="00757842">
              <w:rPr>
                <w:rStyle w:val="Strong"/>
                <w:rFonts w:ascii="Arial Narrow Bold" w:hAnsi="Arial Narrow Bold" w:cs="Tahoma"/>
                <w:color w:val="FFFFFF"/>
                <w:sz w:val="18"/>
                <w:szCs w:val="18"/>
              </w:rPr>
              <w:t>Record Data Here</w:t>
            </w: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and percent of case files that are completely automated</w:t>
            </w:r>
            <w:r>
              <w:rPr>
                <w:rFonts w:ascii="Arial Narrow" w:hAnsi="Arial Narrow" w:cs="Tahoma"/>
                <w:color w:val="000000"/>
                <w:sz w:val="18"/>
                <w:szCs w:val="17"/>
              </w:rPr>
              <w:t xml:space="preserve"> (short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Determine the level of operationalization of the automation. Appropriate for grantees with at least partial data automation. Report the raw number of case files (not individual youth) that are completely automated (i.e., all required data about that case are entered in the automated system and ready for use). Percent is the raw number divided by the total number of cases processed or handled by the grantee.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completely automated cases</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cases total</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and percent of staff with access to the automated system</w:t>
            </w:r>
            <w:r>
              <w:rPr>
                <w:rFonts w:ascii="Arial Narrow" w:hAnsi="Arial Narrow" w:cs="Tahoma"/>
                <w:color w:val="000000"/>
                <w:sz w:val="18"/>
                <w:szCs w:val="17"/>
              </w:rPr>
              <w:t xml:space="preserve"> (short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accountability based on the idea that for the system to work, relevant staff needs to be able to access the system. Appropriate for grantees with at least partial data automation. Report the raw number of staff that can access the data system as needed. Do not include people who do not have passwords or system authorization or staff who do not have the needed training or equipment to access the data system. Percent is the raw number divided by the total number of grantee staff that would need data access to perform their jobs. </w:t>
            </w:r>
          </w:p>
        </w:tc>
        <w:tc>
          <w:tcPr>
            <w:tcW w:w="2674" w:type="dxa"/>
            <w:tcBorders>
              <w:top w:val="single" w:sz="6" w:space="0" w:color="000000"/>
              <w:bottom w:val="single" w:sz="6" w:space="0" w:color="000000"/>
              <w:right w:val="single" w:sz="6" w:space="0" w:color="000000"/>
            </w:tcBorders>
          </w:tcPr>
          <w:p w:rsidR="003F2081" w:rsidRDefault="003F2081" w:rsidP="00757842">
            <w:pPr>
              <w:keepLines/>
              <w:tabs>
                <w:tab w:val="left" w:pos="207"/>
              </w:tab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staff with access</w:t>
            </w:r>
          </w:p>
          <w:p w:rsidR="003F2081" w:rsidRDefault="003F2081" w:rsidP="00757842">
            <w:pPr>
              <w:keepLines/>
              <w:tabs>
                <w:tab w:val="left" w:pos="207"/>
              </w:tab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staff</w:t>
            </w:r>
          </w:p>
          <w:p w:rsidR="003F2081" w:rsidRDefault="003F2081" w:rsidP="00757842">
            <w:pPr>
              <w:keepLines/>
              <w:tabs>
                <w:tab w:val="left" w:pos="207"/>
              </w:tab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and percent of programs about which the data are complete</w:t>
            </w:r>
            <w:r>
              <w:rPr>
                <w:rFonts w:ascii="Arial Narrow" w:hAnsi="Arial Narrow" w:cs="Tahoma"/>
                <w:color w:val="000000"/>
                <w:sz w:val="18"/>
                <w:szCs w:val="17"/>
              </w:rPr>
              <w:t xml:space="preserve"> (short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operational scope. Most appropriate for county-level grantees or grantees that comprise more than one program (e.g., more than one court unit, more than one level of probation). Report the raw number of programs about which all of their data has been entered into the automated system. This includes each of their clients and the full data about each of those clients. Percent is the raw number divided by the total number of grantee programs.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programs that are automated</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programs</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of complaints about data accuracy (including timeliness)</w:t>
            </w:r>
            <w:r>
              <w:rPr>
                <w:rFonts w:ascii="Arial Narrow" w:hAnsi="Arial Narrow" w:cs="Tahoma"/>
                <w:color w:val="000000"/>
                <w:sz w:val="18"/>
                <w:szCs w:val="17"/>
              </w:rPr>
              <w:t xml:space="preserve"> (short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quality. Appropriate for any program that has at least partial automation. Report the number of reports of data inaccuracy. Include data change requests or other changes to data made after they have been made available to staff for use or reporting. Do not include errors found during the quality assurance process before the data are available for staff use. </w:t>
            </w:r>
          </w:p>
        </w:tc>
        <w:tc>
          <w:tcPr>
            <w:tcW w:w="2674" w:type="dxa"/>
            <w:tcBorders>
              <w:top w:val="single" w:sz="6" w:space="0" w:color="000000"/>
              <w:bottom w:val="single" w:sz="6" w:space="0" w:color="000000"/>
              <w:right w:val="single" w:sz="6" w:space="0" w:color="000000"/>
            </w:tcBorders>
          </w:tcPr>
          <w:p w:rsidR="003F2081" w:rsidRDefault="003F2081" w:rsidP="00757842">
            <w:pPr>
              <w:keepLines/>
              <w:tabs>
                <w:tab w:val="left" w:pos="207"/>
              </w:tab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complaints</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Time in hours from contact to information being entered into the system</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efficiency. Appropriate for grantees with at least partial automation. Report the average number of hours from information being gathered to it being entered into the automated system and ready for use. Include data entry and quality control time. If data are entered into the system as they are being collected, the time required would be zero.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Average number of hours from data collection to complete automation</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Staff time required for client administration</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efficiency. Appropriate for any grantee with at least partial automation. Report the raw number of hours staff spend on client administration per month divided by the number of hours of staff work. For example, entering client data, verifying school or justice records, compiling assessment or screening data, or tracking client referrals. Do not include time spent in direct contact with client or time providing services or treatment. Time spent arranging or scheduling service or treatment should be counted.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hours staff spend on administration</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hours staff work</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of hours on administration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Percent of redundant assessments/intakes performed</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efficiency. Appropriate for grantees with at least partial automation. Determine the average number of assessments that clients receive as part of the program. Report number of repeat assessments administered to clients divided by the average number of assessments clients must complete as part of the program. Repeat assessments include youth assessed on the same issues, such as to determine level of drug use or for personal locator information, more than once in a 90-day period. It does not include intentional periodic re-assessments for clinical reasons or re-assessments conducted because of a change in client circumstances. For example, if a client had been assessed regarding treatment and service needs by the pretrial unit before adjudication, as well as by the probation officer post adjudication and the two programs to which the probation officer refers the youth, this youth would have 75 percent redundancy in assessment.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repeat assessments</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total assessments</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and percent of requests for missing information about a youth or case</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effectiveness. Appropriate for grantees with at least some level of automation. Report the raw number of repeat requests for information or requests for additional detail in existing information. Also include requests for client information that would be expected to be in the automated system but is missing. Percent is the raw number divided by all requests for client information. </w:t>
            </w:r>
          </w:p>
        </w:tc>
        <w:tc>
          <w:tcPr>
            <w:tcW w:w="2674" w:type="dxa"/>
            <w:tcBorders>
              <w:top w:val="single" w:sz="6" w:space="0" w:color="000000"/>
              <w:bottom w:val="single" w:sz="6" w:space="0" w:color="000000"/>
              <w:right w:val="single" w:sz="6" w:space="0" w:color="000000"/>
            </w:tcBorders>
          </w:tcPr>
          <w:p w:rsidR="003F2081" w:rsidRDefault="003F2081" w:rsidP="00757842">
            <w:pPr>
              <w:keepLines/>
              <w:tabs>
                <w:tab w:val="left" w:pos="180"/>
              </w:tab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r>
            <w:r w:rsidR="00757842">
              <w:rPr>
                <w:rFonts w:ascii="Arial Narrow" w:hAnsi="Arial Narrow" w:cs="Tahoma"/>
                <w:color w:val="000000"/>
                <w:sz w:val="18"/>
                <w:szCs w:val="17"/>
              </w:rPr>
              <w:tab/>
            </w:r>
            <w:r w:rsidRPr="00485C73">
              <w:rPr>
                <w:rFonts w:ascii="Arial Narrow" w:hAnsi="Arial Narrow" w:cs="Tahoma"/>
                <w:color w:val="000000"/>
                <w:sz w:val="18"/>
                <w:szCs w:val="17"/>
              </w:rPr>
              <w:t>Number of repeat information requests</w:t>
            </w:r>
          </w:p>
          <w:p w:rsidR="003F2081" w:rsidRDefault="003F2081" w:rsidP="00757842">
            <w:pPr>
              <w:keepLines/>
              <w:tabs>
                <w:tab w:val="left" w:pos="180"/>
              </w:tabs>
              <w:spacing w:after="0" w:line="240" w:lineRule="auto"/>
              <w:ind w:left="195" w:hanging="172"/>
              <w:rPr>
                <w:rFonts w:ascii="Arial Narrow" w:hAnsi="Arial Narrow" w:cs="Tahoma"/>
                <w:color w:val="000000"/>
                <w:sz w:val="18"/>
                <w:szCs w:val="17"/>
              </w:rPr>
            </w:pPr>
            <w:r>
              <w:rPr>
                <w:rFonts w:ascii="Arial Narrow" w:hAnsi="Arial Narrow" w:cs="Tahoma"/>
                <w:color w:val="000000"/>
                <w:sz w:val="18"/>
                <w:szCs w:val="17"/>
              </w:rPr>
              <w:t>B</w:t>
            </w:r>
            <w:r w:rsidRPr="00485C73">
              <w:rPr>
                <w:rFonts w:ascii="Arial Narrow" w:hAnsi="Arial Narrow" w:cs="Tahoma"/>
                <w:color w:val="000000"/>
                <w:sz w:val="18"/>
                <w:szCs w:val="17"/>
              </w:rPr>
              <w:tab/>
            </w:r>
            <w:r w:rsidR="00757842">
              <w:rPr>
                <w:rFonts w:ascii="Arial Narrow" w:hAnsi="Arial Narrow" w:cs="Tahoma"/>
                <w:color w:val="000000"/>
                <w:sz w:val="18"/>
                <w:szCs w:val="17"/>
              </w:rPr>
              <w:tab/>
            </w:r>
            <w:r w:rsidRPr="00485C73">
              <w:rPr>
                <w:rFonts w:ascii="Arial Narrow" w:hAnsi="Arial Narrow" w:cs="Tahoma"/>
                <w:color w:val="000000"/>
                <w:sz w:val="18"/>
                <w:szCs w:val="17"/>
              </w:rPr>
              <w:t>Number of information requests</w:t>
            </w:r>
          </w:p>
          <w:p w:rsidR="003F2081" w:rsidRDefault="003F2081" w:rsidP="00757842">
            <w:pPr>
              <w:keepLines/>
              <w:tabs>
                <w:tab w:val="left" w:pos="180"/>
              </w:tab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00757842">
              <w:rPr>
                <w:rFonts w:ascii="Arial Narrow" w:hAnsi="Arial Narrow" w:cs="Tahoma"/>
                <w:color w:val="000000"/>
                <w:sz w:val="18"/>
                <w:szCs w:val="17"/>
              </w:rPr>
              <w:tab/>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and percent of data/information requests that must be submitted more than once</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effectiveness. Appropriate for grantees with at least partial automation. Report the raw number of times that the same data must be submitted to the system. Includes data that are lost after submission, and data that become unusable after submission or data that must be resubmitted because of system revisions or changes. Percent is the raw number divided by the total number of data submissions. Count batch submissions (e.g., routine submissions of a week’s worth of client assessments) as single submissions regardless of the number of variables or cases included.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repeat data submissions</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data submissions</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and percent of units with agreements to use common intake/assessment forms</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accountability based on the idea that the use of a single form increases system efficiency and reduces the burden on clients. Appropriate for most grantees under this purpose area. Report the number of different entities that require youth assessments and that have agreements to use the data from the same assessment. Include both entities that have formal agreements to this effect or those who have a history of sharing their assessment data. Percent is the raw number divided by the number of entities that clients are in contact with. If multiple groups share assessment data among themselves but not with each other, report the number that is the larger of the two as the raw number.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entities that have assessments to share</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B.</w:t>
            </w:r>
            <w:r w:rsidRPr="00485C73">
              <w:rPr>
                <w:rFonts w:ascii="Arial Narrow" w:hAnsi="Arial Narrow" w:cs="Tahoma"/>
                <w:color w:val="000000"/>
                <w:sz w:val="18"/>
                <w:szCs w:val="17"/>
              </w:rPr>
              <w:tab/>
              <w:t>Number of entities that use assessments data</w:t>
            </w:r>
          </w:p>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C.</w:t>
            </w:r>
            <w:r w:rsidRPr="00485C73">
              <w:rPr>
                <w:rFonts w:ascii="Arial Narrow" w:hAnsi="Arial Narrow" w:cs="Tahoma"/>
                <w:color w:val="000000"/>
                <w:sz w:val="18"/>
                <w:szCs w:val="17"/>
              </w:rPr>
              <w:tab/>
              <w:t>Percent (a/b)</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6" w:space="0" w:color="000000"/>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of data queries</w:t>
            </w:r>
            <w:r>
              <w:rPr>
                <w:rFonts w:ascii="Arial Narrow" w:hAnsi="Arial Narrow" w:cs="Tahoma"/>
                <w:color w:val="000000"/>
                <w:sz w:val="18"/>
                <w:szCs w:val="17"/>
              </w:rPr>
              <w:t xml:space="preserve"> (intermediate term)</w:t>
            </w:r>
          </w:p>
        </w:tc>
        <w:tc>
          <w:tcPr>
            <w:tcW w:w="4590" w:type="dxa"/>
            <w:tcBorders>
              <w:top w:val="single" w:sz="6" w:space="0" w:color="000000"/>
              <w:bottom w:val="single" w:sz="6" w:space="0" w:color="000000"/>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use and a proxy for data usefulness. Appropriate for grantees with at last partial automation. Report the number of separate times that authorized users access the automated data. Do not include access for the purpose of data entry. </w:t>
            </w:r>
          </w:p>
        </w:tc>
        <w:tc>
          <w:tcPr>
            <w:tcW w:w="2674" w:type="dxa"/>
            <w:tcBorders>
              <w:top w:val="single" w:sz="6" w:space="0" w:color="000000"/>
              <w:bottom w:val="single" w:sz="6" w:space="0" w:color="000000"/>
              <w:right w:val="single" w:sz="6" w:space="0" w:color="000000"/>
            </w:tcBorders>
          </w:tcPr>
          <w:p w:rsidR="003F2081" w:rsidRDefault="003F2081" w:rsidP="00757842">
            <w:pPr>
              <w:keepLines/>
              <w:spacing w:after="0" w:line="240" w:lineRule="auto"/>
              <w:ind w:left="195" w:hanging="172"/>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times data are accessed</w:t>
            </w:r>
          </w:p>
          <w:p w:rsidR="003F2081" w:rsidRDefault="003F2081" w:rsidP="00757842">
            <w:pPr>
              <w:keepLines/>
              <w:spacing w:after="0" w:line="240" w:lineRule="auto"/>
              <w:ind w:left="195" w:hanging="172"/>
              <w:rPr>
                <w:rFonts w:ascii="Arial Narrow" w:hAnsi="Arial Narrow" w:cs="Tahoma"/>
                <w:color w:val="000000"/>
                <w:sz w:val="18"/>
                <w:szCs w:val="17"/>
              </w:rPr>
            </w:pPr>
          </w:p>
        </w:tc>
        <w:tc>
          <w:tcPr>
            <w:tcW w:w="1438" w:type="dxa"/>
            <w:tcBorders>
              <w:top w:val="single" w:sz="6" w:space="0" w:color="000000"/>
              <w:bottom w:val="single" w:sz="6" w:space="0" w:color="000000"/>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r w:rsidR="003F2081" w:rsidRPr="00485C73" w:rsidTr="00635AE9">
        <w:trPr>
          <w:cantSplit/>
        </w:trPr>
        <w:tc>
          <w:tcPr>
            <w:tcW w:w="435" w:type="dxa"/>
            <w:tcBorders>
              <w:top w:val="single" w:sz="6" w:space="0" w:color="000000"/>
              <w:left w:val="single" w:sz="8" w:space="0" w:color="auto"/>
              <w:bottom w:val="single" w:sz="8" w:space="0" w:color="auto"/>
            </w:tcBorders>
          </w:tcPr>
          <w:p w:rsidR="003F2081" w:rsidRPr="00FA6131" w:rsidRDefault="003F2081" w:rsidP="00FA6131">
            <w:pPr>
              <w:pStyle w:val="ListParagraph"/>
              <w:keepLines/>
              <w:numPr>
                <w:ilvl w:val="0"/>
                <w:numId w:val="10"/>
              </w:numPr>
              <w:spacing w:after="0" w:line="240" w:lineRule="auto"/>
              <w:rPr>
                <w:rFonts w:ascii="Arial Narrow" w:hAnsi="Arial Narrow" w:cs="Tahoma"/>
                <w:color w:val="000000"/>
                <w:sz w:val="18"/>
                <w:szCs w:val="17"/>
              </w:rPr>
            </w:pPr>
          </w:p>
        </w:tc>
        <w:tc>
          <w:tcPr>
            <w:tcW w:w="1800" w:type="dxa"/>
            <w:tcBorders>
              <w:top w:val="single" w:sz="6" w:space="0" w:color="000000"/>
              <w:left w:val="single" w:sz="6" w:space="0" w:color="000000"/>
              <w:bottom w:val="single" w:sz="8" w:space="0" w:color="auto"/>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Number of different standard reports that are programmed into the system</w:t>
            </w:r>
            <w:r>
              <w:rPr>
                <w:rFonts w:ascii="Arial Narrow" w:hAnsi="Arial Narrow" w:cs="Tahoma"/>
                <w:color w:val="000000"/>
                <w:sz w:val="18"/>
                <w:szCs w:val="17"/>
              </w:rPr>
              <w:t xml:space="preserve"> (intermediate term)</w:t>
            </w:r>
          </w:p>
        </w:tc>
        <w:tc>
          <w:tcPr>
            <w:tcW w:w="4590" w:type="dxa"/>
            <w:tcBorders>
              <w:top w:val="single" w:sz="6" w:space="0" w:color="000000"/>
              <w:bottom w:val="single" w:sz="8" w:space="0" w:color="auto"/>
              <w:right w:val="single" w:sz="6" w:space="0" w:color="000000"/>
            </w:tcBorders>
          </w:tcPr>
          <w:p w:rsidR="003F2081" w:rsidRDefault="003F2081" w:rsidP="00293CED">
            <w:pPr>
              <w:keepLines/>
              <w:spacing w:after="0" w:line="240" w:lineRule="auto"/>
              <w:rPr>
                <w:rFonts w:ascii="Arial Narrow" w:hAnsi="Arial Narrow" w:cs="Tahoma"/>
                <w:color w:val="000000"/>
                <w:sz w:val="18"/>
                <w:szCs w:val="17"/>
              </w:rPr>
            </w:pPr>
            <w:r w:rsidRPr="00485C73">
              <w:rPr>
                <w:rFonts w:ascii="Arial Narrow" w:hAnsi="Arial Narrow" w:cs="Tahoma"/>
                <w:color w:val="000000"/>
                <w:sz w:val="18"/>
                <w:szCs w:val="17"/>
              </w:rPr>
              <w:t>Measure of system accountability to staff. Appropriate for grantees with at least partial automation. Report the number of different standard reports that users can create with the system. Standard reports are those that are routinely required of users or are choices programmed into a report menu offered to users. Do not include custom reports that users can create individually. </w:t>
            </w:r>
          </w:p>
        </w:tc>
        <w:tc>
          <w:tcPr>
            <w:tcW w:w="2674" w:type="dxa"/>
            <w:tcBorders>
              <w:top w:val="single" w:sz="6" w:space="0" w:color="000000"/>
              <w:bottom w:val="single" w:sz="8" w:space="0" w:color="auto"/>
              <w:right w:val="single" w:sz="6" w:space="0" w:color="000000"/>
            </w:tcBorders>
          </w:tcPr>
          <w:p w:rsidR="003F2081" w:rsidRDefault="003F2081" w:rsidP="00293CED">
            <w:pPr>
              <w:keepLines/>
              <w:tabs>
                <w:tab w:val="left" w:pos="207"/>
              </w:tabs>
              <w:spacing w:after="0" w:line="240" w:lineRule="auto"/>
              <w:ind w:left="23"/>
              <w:rPr>
                <w:rFonts w:ascii="Arial Narrow" w:hAnsi="Arial Narrow" w:cs="Tahoma"/>
                <w:color w:val="000000"/>
                <w:sz w:val="18"/>
                <w:szCs w:val="17"/>
              </w:rPr>
            </w:pPr>
            <w:r w:rsidRPr="00485C73">
              <w:rPr>
                <w:rFonts w:ascii="Arial Narrow" w:hAnsi="Arial Narrow" w:cs="Tahoma"/>
                <w:color w:val="000000"/>
                <w:sz w:val="18"/>
                <w:szCs w:val="17"/>
              </w:rPr>
              <w:t>A.</w:t>
            </w:r>
            <w:r w:rsidRPr="00485C73">
              <w:rPr>
                <w:rFonts w:ascii="Arial Narrow" w:hAnsi="Arial Narrow" w:cs="Tahoma"/>
                <w:color w:val="000000"/>
                <w:sz w:val="18"/>
                <w:szCs w:val="17"/>
              </w:rPr>
              <w:tab/>
              <w:t>Number of standard reports possible</w:t>
            </w:r>
          </w:p>
          <w:p w:rsidR="003F2081" w:rsidRDefault="003F2081" w:rsidP="00293CED">
            <w:pPr>
              <w:keepLines/>
              <w:spacing w:after="0" w:line="240" w:lineRule="auto"/>
              <w:rPr>
                <w:rFonts w:ascii="Arial Narrow" w:hAnsi="Arial Narrow" w:cs="Tahoma"/>
                <w:color w:val="000000"/>
                <w:sz w:val="18"/>
                <w:szCs w:val="17"/>
              </w:rPr>
            </w:pPr>
          </w:p>
        </w:tc>
        <w:tc>
          <w:tcPr>
            <w:tcW w:w="1438" w:type="dxa"/>
            <w:tcBorders>
              <w:top w:val="single" w:sz="6" w:space="0" w:color="000000"/>
              <w:bottom w:val="single" w:sz="8" w:space="0" w:color="auto"/>
              <w:right w:val="single" w:sz="8" w:space="0" w:color="auto"/>
            </w:tcBorders>
          </w:tcPr>
          <w:p w:rsidR="003F2081" w:rsidRDefault="003F2081" w:rsidP="00293CED">
            <w:pPr>
              <w:keepLines/>
              <w:spacing w:after="0" w:line="240" w:lineRule="auto"/>
              <w:rPr>
                <w:rFonts w:ascii="Arial Narrow" w:hAnsi="Arial Narrow" w:cs="Tahoma"/>
                <w:color w:val="000000"/>
                <w:sz w:val="18"/>
                <w:szCs w:val="17"/>
              </w:rPr>
            </w:pPr>
          </w:p>
        </w:tc>
      </w:tr>
    </w:tbl>
    <w:p w:rsidR="003F2081" w:rsidRDefault="003F2081"/>
    <w:sectPr w:rsidR="003F2081" w:rsidSect="003F208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9F6" w:rsidRDefault="00D759F6" w:rsidP="003F2081">
      <w:pPr>
        <w:spacing w:after="0" w:line="240" w:lineRule="auto"/>
      </w:pPr>
      <w:r>
        <w:separator/>
      </w:r>
    </w:p>
  </w:endnote>
  <w:endnote w:type="continuationSeparator" w:id="0">
    <w:p w:rsidR="00D759F6" w:rsidRDefault="00D759F6" w:rsidP="003F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01690"/>
      <w:docPartObj>
        <w:docPartGallery w:val="Page Numbers (Bottom of Page)"/>
        <w:docPartUnique/>
      </w:docPartObj>
    </w:sdtPr>
    <w:sdtEndPr>
      <w:rPr>
        <w:noProof/>
      </w:rPr>
    </w:sdtEndPr>
    <w:sdtContent>
      <w:p w:rsidR="00475B30" w:rsidRDefault="00475B30" w:rsidP="00757842">
        <w:pPr>
          <w:pStyle w:val="Footer"/>
          <w:jc w:val="right"/>
        </w:pPr>
        <w:r>
          <w:fldChar w:fldCharType="begin"/>
        </w:r>
        <w:r>
          <w:instrText xml:space="preserve"> PAGE   \* MERGEFORMAT </w:instrText>
        </w:r>
        <w:r>
          <w:fldChar w:fldCharType="separate"/>
        </w:r>
        <w:r w:rsidR="00635AE9">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9F6" w:rsidRDefault="00D759F6" w:rsidP="003F2081">
      <w:pPr>
        <w:spacing w:after="0" w:line="240" w:lineRule="auto"/>
      </w:pPr>
      <w:r>
        <w:separator/>
      </w:r>
    </w:p>
  </w:footnote>
  <w:footnote w:type="continuationSeparator" w:id="0">
    <w:p w:rsidR="00D759F6" w:rsidRDefault="00D759F6" w:rsidP="003F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081" w:rsidRPr="008776B6" w:rsidRDefault="003F2081" w:rsidP="003F2081">
    <w:pPr>
      <w:pStyle w:val="Heading1"/>
      <w:spacing w:before="0" w:after="0"/>
      <w:rPr>
        <w:color w:val="auto"/>
      </w:rPr>
    </w:pPr>
    <w:r w:rsidRPr="008776B6">
      <w:rPr>
        <w:color w:val="auto"/>
      </w:rPr>
      <w:t>Office of Juvenile Justice and Delinquency Prevention</w:t>
    </w:r>
  </w:p>
  <w:p w:rsidR="003F2081" w:rsidRPr="00195C88" w:rsidRDefault="003F2081" w:rsidP="003F2081">
    <w:pPr>
      <w:pStyle w:val="Heading1"/>
      <w:spacing w:before="100"/>
      <w:rPr>
        <w:rStyle w:val="instructions1"/>
        <w:rFonts w:cs="Arial"/>
        <w:bCs/>
      </w:rPr>
    </w:pPr>
    <w:r w:rsidRPr="00195C88">
      <w:rPr>
        <w:rStyle w:val="instructions1"/>
        <w:rFonts w:cs="Arial"/>
        <w:bCs/>
      </w:rPr>
      <w:t>Tribal Juvenile Accountability Discretionary Grant Program (T-JADG)</w:t>
    </w:r>
  </w:p>
  <w:p w:rsidR="003F2081" w:rsidRPr="003F2081" w:rsidRDefault="003F2081" w:rsidP="003F2081">
    <w:pPr>
      <w:pStyle w:val="Heading1"/>
      <w:spacing w:after="100"/>
      <w:rPr>
        <w:color w:val="auto"/>
      </w:rPr>
    </w:pPr>
    <w:r w:rsidRPr="00812783">
      <w:rPr>
        <w:color w:val="auto"/>
      </w:rPr>
      <w:t>Juvenile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E8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15:restartNumberingAfterBreak="0">
    <w:nsid w:val="0EB74711"/>
    <w:multiLevelType w:val="hybridMultilevel"/>
    <w:tmpl w:val="CBC248A2"/>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E5449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9141C"/>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10B80"/>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424D5112"/>
    <w:multiLevelType w:val="hybridMultilevel"/>
    <w:tmpl w:val="A7AE2FC0"/>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69710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5B336C4C"/>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66DD8"/>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15:restartNumberingAfterBreak="0">
    <w:nsid w:val="65EA0C24"/>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D419A"/>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3"/>
  </w:num>
  <w:num w:numId="2">
    <w:abstractNumId w:val="10"/>
  </w:num>
  <w:num w:numId="3">
    <w:abstractNumId w:val="4"/>
  </w:num>
  <w:num w:numId="4">
    <w:abstractNumId w:val="6"/>
  </w:num>
  <w:num w:numId="5">
    <w:abstractNumId w:val="8"/>
  </w:num>
  <w:num w:numId="6">
    <w:abstractNumId w:val="0"/>
  </w:num>
  <w:num w:numId="7">
    <w:abstractNumId w:val="7"/>
  </w:num>
  <w:num w:numId="8">
    <w:abstractNumId w:val="2"/>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81"/>
    <w:rsid w:val="00163436"/>
    <w:rsid w:val="003F2081"/>
    <w:rsid w:val="00475B30"/>
    <w:rsid w:val="00635AE9"/>
    <w:rsid w:val="00757842"/>
    <w:rsid w:val="007F62EE"/>
    <w:rsid w:val="00D759F6"/>
    <w:rsid w:val="00FA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58E55-CFFF-4EA9-B8E5-7AC62B02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81"/>
  </w:style>
  <w:style w:type="paragraph" w:styleId="Heading1">
    <w:name w:val="heading 1"/>
    <w:basedOn w:val="Normal"/>
    <w:next w:val="BodyText"/>
    <w:link w:val="Heading1Char"/>
    <w:qFormat/>
    <w:rsid w:val="003F2081"/>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81"/>
  </w:style>
  <w:style w:type="paragraph" w:styleId="Footer">
    <w:name w:val="footer"/>
    <w:basedOn w:val="Normal"/>
    <w:link w:val="FooterChar"/>
    <w:uiPriority w:val="99"/>
    <w:unhideWhenUsed/>
    <w:rsid w:val="003F2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81"/>
  </w:style>
  <w:style w:type="character" w:customStyle="1" w:styleId="Heading1Char">
    <w:name w:val="Heading 1 Char"/>
    <w:basedOn w:val="DefaultParagraphFont"/>
    <w:link w:val="Heading1"/>
    <w:rsid w:val="003F2081"/>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3F2081"/>
  </w:style>
  <w:style w:type="paragraph" w:styleId="BodyText">
    <w:name w:val="Body Text"/>
    <w:basedOn w:val="Normal"/>
    <w:link w:val="BodyTextChar"/>
    <w:uiPriority w:val="99"/>
    <w:semiHidden/>
    <w:unhideWhenUsed/>
    <w:rsid w:val="003F2081"/>
    <w:pPr>
      <w:spacing w:after="120"/>
    </w:pPr>
  </w:style>
  <w:style w:type="character" w:customStyle="1" w:styleId="BodyTextChar">
    <w:name w:val="Body Text Char"/>
    <w:basedOn w:val="DefaultParagraphFont"/>
    <w:link w:val="BodyText"/>
    <w:uiPriority w:val="99"/>
    <w:semiHidden/>
    <w:rsid w:val="003F2081"/>
  </w:style>
  <w:style w:type="character" w:styleId="Strong">
    <w:name w:val="Strong"/>
    <w:qFormat/>
    <w:rsid w:val="003F2081"/>
    <w:rPr>
      <w:b/>
      <w:bCs/>
    </w:rPr>
  </w:style>
  <w:style w:type="paragraph" w:styleId="ListParagraph">
    <w:name w:val="List Paragraph"/>
    <w:basedOn w:val="Normal"/>
    <w:uiPriority w:val="34"/>
    <w:qFormat/>
    <w:rsid w:val="003F2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2021-08-11T20:49:00Z</dcterms:created>
  <dcterms:modified xsi:type="dcterms:W3CDTF">2021-08-11T20:49:00Z</dcterms:modified>
</cp:coreProperties>
</file>