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242"/>
        <w:gridCol w:w="2281"/>
        <w:gridCol w:w="4242"/>
        <w:gridCol w:w="2760"/>
        <w:gridCol w:w="1425"/>
      </w:tblGrid>
      <w:tr w:rsidR="007C7568" w:rsidRPr="00636FE4" w:rsidTr="003E1F58">
        <w:trPr>
          <w:cantSplit/>
          <w:tblHeader/>
        </w:trPr>
        <w:tc>
          <w:tcPr>
            <w:tcW w:w="0" w:type="auto"/>
            <w:tcBorders>
              <w:left w:val="single" w:sz="4" w:space="0" w:color="auto"/>
              <w:bottom w:val="single" w:sz="6" w:space="0" w:color="000000"/>
              <w:right w:val="single" w:sz="6" w:space="0" w:color="FFFFFF"/>
            </w:tcBorders>
            <w:shd w:val="clear" w:color="auto" w:fill="003366"/>
            <w:vAlign w:val="center"/>
          </w:tcPr>
          <w:p w:rsidR="007C7568" w:rsidRDefault="007C7568" w:rsidP="00293CED">
            <w:pPr>
              <w:keepLines/>
              <w:spacing w:after="0" w:line="240" w:lineRule="auto"/>
              <w:rPr>
                <w:rFonts w:ascii="Arial Narrow Bold" w:hAnsi="Arial Narrow Bold" w:cs="Tahoma"/>
                <w:b/>
                <w:color w:val="FFFFFF"/>
                <w:sz w:val="20"/>
                <w:szCs w:val="17"/>
              </w:rPr>
            </w:pPr>
            <w:bookmarkStart w:id="0" w:name="_GoBack"/>
            <w:bookmarkEnd w:id="0"/>
            <w:r w:rsidRPr="00636FE4">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7C7568" w:rsidRDefault="007C7568"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Output Measure</w:t>
            </w:r>
          </w:p>
        </w:tc>
        <w:tc>
          <w:tcPr>
            <w:tcW w:w="4242" w:type="dxa"/>
            <w:tcBorders>
              <w:left w:val="single" w:sz="6" w:space="0" w:color="FFFFFF"/>
              <w:bottom w:val="single" w:sz="6" w:space="0" w:color="000000"/>
              <w:right w:val="single" w:sz="6" w:space="0" w:color="FFFFFF"/>
            </w:tcBorders>
            <w:shd w:val="clear" w:color="auto" w:fill="003366"/>
            <w:vAlign w:val="center"/>
          </w:tcPr>
          <w:p w:rsidR="007C7568" w:rsidRDefault="007C7568"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Definition</w:t>
            </w:r>
          </w:p>
        </w:tc>
        <w:tc>
          <w:tcPr>
            <w:tcW w:w="2760" w:type="dxa"/>
            <w:tcBorders>
              <w:left w:val="single" w:sz="6" w:space="0" w:color="FFFFFF"/>
              <w:bottom w:val="single" w:sz="6" w:space="0" w:color="000000"/>
              <w:right w:val="single" w:sz="6" w:space="0" w:color="FFFFFF"/>
            </w:tcBorders>
            <w:shd w:val="clear" w:color="auto" w:fill="003366"/>
            <w:noWrap/>
            <w:vAlign w:val="center"/>
          </w:tcPr>
          <w:p w:rsidR="007C7568" w:rsidRDefault="007C7568" w:rsidP="00293CED">
            <w:pPr>
              <w:keepLines/>
              <w:spacing w:after="0" w:line="240" w:lineRule="auto"/>
              <w:rPr>
                <w:rFonts w:ascii="Arial Narrow Bold" w:hAnsi="Arial Narrow Bold" w:cs="Tahoma"/>
                <w:b/>
                <w:color w:val="FFFFFF"/>
                <w:sz w:val="18"/>
                <w:szCs w:val="18"/>
              </w:rPr>
            </w:pPr>
            <w:r w:rsidRPr="00636FE4">
              <w:rPr>
                <w:rStyle w:val="Strong"/>
                <w:rFonts w:ascii="Arial Narrow Bold" w:hAnsi="Arial Narrow Bold" w:cs="Tahoma"/>
                <w:color w:val="FFFFFF"/>
                <w:sz w:val="18"/>
                <w:szCs w:val="18"/>
              </w:rPr>
              <w:t>Data Grantee Provides</w:t>
            </w:r>
          </w:p>
        </w:tc>
        <w:tc>
          <w:tcPr>
            <w:tcW w:w="1425" w:type="dxa"/>
            <w:tcBorders>
              <w:left w:val="single" w:sz="6" w:space="0" w:color="FFFFFF"/>
              <w:bottom w:val="single" w:sz="6" w:space="0" w:color="000000"/>
            </w:tcBorders>
            <w:shd w:val="clear" w:color="auto" w:fill="003366"/>
          </w:tcPr>
          <w:p w:rsidR="007C7568" w:rsidRDefault="007C7568" w:rsidP="00293CED">
            <w:pPr>
              <w:keepLines/>
              <w:spacing w:after="0" w:line="240" w:lineRule="auto"/>
              <w:rPr>
                <w:rStyle w:val="Strong"/>
                <w:rFonts w:ascii="Arial Narrow Bold" w:hAnsi="Arial Narrow Bold" w:cs="Tahoma"/>
                <w:color w:val="FFFFFF"/>
                <w:sz w:val="18"/>
                <w:szCs w:val="18"/>
              </w:rPr>
            </w:pPr>
            <w:r w:rsidRPr="00636FE4">
              <w:rPr>
                <w:rStyle w:val="Strong"/>
                <w:rFonts w:ascii="Arial Narrow Bold" w:hAnsi="Arial Narrow Bold" w:cs="Tahoma"/>
                <w:color w:val="FFFFFF"/>
                <w:sz w:val="18"/>
                <w:szCs w:val="18"/>
              </w:rPr>
              <w:t>Record Data Here</w:t>
            </w: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Amount of JABG/Tribal JADG funds awarded for system improvement</w:t>
            </w:r>
          </w:p>
          <w:p w:rsidR="007C7568" w:rsidRDefault="007C7568" w:rsidP="00293CED">
            <w:pPr>
              <w:keepLines/>
              <w:spacing w:after="0" w:line="240" w:lineRule="auto"/>
              <w:rPr>
                <w:rFonts w:ascii="Arial Narrow" w:hAnsi="Arial Narrow" w:cs="Tahoma"/>
                <w:color w:val="000000"/>
                <w:sz w:val="18"/>
                <w:szCs w:val="17"/>
              </w:rPr>
            </w:pPr>
          </w:p>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System Improvements Mandatory</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The amount of JABG/Tribal JADG funds in whole dollars that are awarded for System Improvement during the reporting period. Program records are the preferred source. </w:t>
            </w:r>
          </w:p>
        </w:tc>
        <w:tc>
          <w:tcPr>
            <w:tcW w:w="2760" w:type="dxa"/>
            <w:tcBorders>
              <w:top w:val="single" w:sz="6" w:space="0" w:color="000000"/>
              <w:bottom w:val="single" w:sz="6" w:space="0" w:color="000000"/>
              <w:right w:val="single" w:sz="6" w:space="0" w:color="000000"/>
            </w:tcBorders>
          </w:tcPr>
          <w:p w:rsidR="007C7568" w:rsidRDefault="007C7568" w:rsidP="001B347A">
            <w:pPr>
              <w:keepLines/>
              <w:tabs>
                <w:tab w:val="left" w:pos="23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Funds awarded to program for services</w:t>
            </w:r>
          </w:p>
          <w:p w:rsidR="007C7568" w:rsidRDefault="007C7568" w:rsidP="00293CED">
            <w:pPr>
              <w:keepLines/>
              <w:tabs>
                <w:tab w:val="left" w:pos="201"/>
              </w:tabs>
              <w:spacing w:after="0" w:line="240" w:lineRule="auto"/>
              <w:ind w:left="225" w:hanging="202"/>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staff trained on gun court procedures</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any grantee working with or administering a gun court. Report the raw number of staff to receive formal training on gun court related topics. Percent is the raw number divided by the total number of staff in the pool from which those trained were selected. For example, if 10 staff from a probation department were trained, the total pool would be the staff from the entire probation department. </w:t>
            </w:r>
          </w:p>
        </w:tc>
        <w:tc>
          <w:tcPr>
            <w:tcW w:w="2760" w:type="dxa"/>
            <w:tcBorders>
              <w:top w:val="single" w:sz="6" w:space="0" w:color="000000"/>
              <w:bottom w:val="single" w:sz="6" w:space="0" w:color="000000"/>
              <w:right w:val="single" w:sz="6" w:space="0" w:color="000000"/>
            </w:tcBorders>
          </w:tcPr>
          <w:p w:rsidR="007C7568" w:rsidRDefault="007C7568" w:rsidP="00293CED">
            <w:pPr>
              <w:keepLines/>
              <w:tabs>
                <w:tab w:val="left" w:pos="201"/>
              </w:tabs>
              <w:spacing w:after="0" w:line="240" w:lineRule="auto"/>
              <w:ind w:left="2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staff trained</w:t>
            </w:r>
          </w:p>
          <w:p w:rsidR="007C7568" w:rsidRDefault="007C7568" w:rsidP="00293CED">
            <w:pPr>
              <w:keepLines/>
              <w:tabs>
                <w:tab w:val="left" w:pos="201"/>
              </w:tabs>
              <w:spacing w:after="0" w:line="240" w:lineRule="auto"/>
              <w:ind w:left="23"/>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staff</w:t>
            </w:r>
          </w:p>
          <w:p w:rsidR="007C7568" w:rsidRDefault="007C7568" w:rsidP="00293CED">
            <w:pPr>
              <w:keepLines/>
              <w:tabs>
                <w:tab w:val="left" w:pos="201"/>
              </w:tabs>
              <w:spacing w:after="0" w:line="240" w:lineRule="auto"/>
              <w:ind w:left="23"/>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hours of training on gun court procedures offered</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properly trained staff can provide better service. Appropriate for any grantee working with or administering a gun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 </w:t>
            </w:r>
          </w:p>
        </w:tc>
        <w:tc>
          <w:tcPr>
            <w:tcW w:w="2760" w:type="dxa"/>
            <w:tcBorders>
              <w:top w:val="single" w:sz="6" w:space="0" w:color="000000"/>
              <w:bottom w:val="single" w:sz="6" w:space="0" w:color="000000"/>
              <w:right w:val="single" w:sz="6" w:space="0" w:color="000000"/>
            </w:tcBorders>
          </w:tcPr>
          <w:p w:rsidR="007C7568" w:rsidRDefault="007C7568" w:rsidP="00293CED">
            <w:pPr>
              <w:keepLines/>
              <w:tabs>
                <w:tab w:val="left" w:pos="193"/>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hours of training offered</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arrests for gun offenses in which a juvenile offender is assessed for participation in the gun court</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operation level. Appropriate for any gun court program or larger jurisdiction that includes a gun court. Report the raw number of arrests for any type of gun-related offense that results in the juvenile offender being assessed for participation in the gun court. Include face-to-face assessments, review of records, or any other process used to determine appropriateness for gun court participation. The unit of measurement is the case, not the individual youth. Percent is the raw number divided by the total number of arrests of juveniles for gun-related offenses. </w:t>
            </w:r>
          </w:p>
        </w:tc>
        <w:tc>
          <w:tcPr>
            <w:tcW w:w="2760" w:type="dxa"/>
            <w:tcBorders>
              <w:top w:val="single" w:sz="6" w:space="0" w:color="000000"/>
              <w:bottom w:val="single" w:sz="6" w:space="0" w:color="000000"/>
              <w:right w:val="single" w:sz="6" w:space="0" w:color="000000"/>
            </w:tcBorders>
          </w:tcPr>
          <w:p w:rsidR="007C7568" w:rsidRDefault="007C7568"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gun court assessments</w:t>
            </w:r>
          </w:p>
          <w:p w:rsidR="007C7568" w:rsidRDefault="007C7568" w:rsidP="001B347A">
            <w:pPr>
              <w:keepLine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gun-related arrests of juveniles</w:t>
            </w:r>
          </w:p>
          <w:p w:rsidR="007C7568" w:rsidRDefault="007C7568"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and percent of families of youth charged with gun offenses who are assessed</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operation level. In part, based on the idea that family participation has an effect on youth outcomes. Appropriate for any gun court program or larger jurisdiction that includes a gun court. Report the raw number of families who have at least one member (other than the offender who is participating in the gun court) assessed through the gun court. Percent is the raw number divided by the number of youth involved in the gun court. </w:t>
            </w:r>
          </w:p>
        </w:tc>
        <w:tc>
          <w:tcPr>
            <w:tcW w:w="2760" w:type="dxa"/>
            <w:tcBorders>
              <w:top w:val="single" w:sz="6" w:space="0" w:color="000000"/>
              <w:bottom w:val="single" w:sz="6" w:space="0" w:color="000000"/>
              <w:right w:val="single" w:sz="6" w:space="0" w:color="000000"/>
            </w:tcBorders>
          </w:tcPr>
          <w:p w:rsidR="007C7568" w:rsidRDefault="007C7568"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families assessed</w:t>
            </w:r>
          </w:p>
          <w:p w:rsidR="007C7568" w:rsidRDefault="007C7568" w:rsidP="001B347A">
            <w:pPr>
              <w:keepLine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B.</w:t>
            </w:r>
            <w:r w:rsidRPr="00EE4B12">
              <w:rPr>
                <w:rFonts w:ascii="Arial Narrow" w:hAnsi="Arial Narrow" w:cs="Tahoma"/>
                <w:color w:val="000000"/>
                <w:sz w:val="18"/>
                <w:szCs w:val="17"/>
              </w:rPr>
              <w:tab/>
              <w:t>Number of youth enrolled in the gun courts</w:t>
            </w:r>
          </w:p>
          <w:p w:rsidR="007C7568" w:rsidRDefault="007C7568" w:rsidP="00293CED">
            <w:pPr>
              <w:keepLines/>
              <w:tabs>
                <w:tab w:val="left" w:pos="201"/>
              </w:tab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C.</w:t>
            </w:r>
            <w:r w:rsidRPr="00EE4B12">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agencies involved in the gun court</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system accountability based on the idea that specialty court success is based on providing coordinated services. Appropriate for any gun court program. Report the raw number of agencies or groups with which the gun court (or gun court lead agency) has a formal partnership agreement. Such agreements can take the form of a memorandum of understanding, formal procedures for referrals between the agency and the gun court, or any other document that outlines how the agency will work with the gun court. </w:t>
            </w:r>
          </w:p>
        </w:tc>
        <w:tc>
          <w:tcPr>
            <w:tcW w:w="2760" w:type="dxa"/>
            <w:tcBorders>
              <w:top w:val="single" w:sz="6" w:space="0" w:color="000000"/>
              <w:bottom w:val="single" w:sz="6" w:space="0" w:color="000000"/>
              <w:right w:val="single" w:sz="6" w:space="0" w:color="000000"/>
            </w:tcBorders>
          </w:tcPr>
          <w:p w:rsidR="007C7568" w:rsidRDefault="007C7568" w:rsidP="003E1F58">
            <w:pPr>
              <w:keepLines/>
              <w:spacing w:after="0" w:line="240" w:lineRule="auto"/>
              <w:ind w:left="225" w:hanging="202"/>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agencies involved in the gun court</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Number of gun court slots</w:t>
            </w:r>
          </w:p>
        </w:tc>
        <w:tc>
          <w:tcPr>
            <w:tcW w:w="4242"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r w:rsidRPr="00EE4B12">
              <w:rPr>
                <w:rFonts w:ascii="Arial Narrow" w:hAnsi="Arial Narrow" w:cs="Tahoma"/>
                <w:color w:val="000000"/>
                <w:sz w:val="18"/>
                <w:szCs w:val="17"/>
              </w:rPr>
              <w:t>Measure of program scope. Appropriate for any gun court program. Report the number of youth that can participate in the gun court simultaneously. </w:t>
            </w:r>
          </w:p>
        </w:tc>
        <w:tc>
          <w:tcPr>
            <w:tcW w:w="2760" w:type="dxa"/>
            <w:tcBorders>
              <w:top w:val="single" w:sz="6" w:space="0" w:color="000000"/>
              <w:bottom w:val="single" w:sz="6" w:space="0" w:color="000000"/>
              <w:right w:val="single" w:sz="6" w:space="0" w:color="000000"/>
            </w:tcBorders>
          </w:tcPr>
          <w:p w:rsidR="007C7568" w:rsidRDefault="007C7568" w:rsidP="00293CED">
            <w:pPr>
              <w:keepLines/>
              <w:tabs>
                <w:tab w:val="left" w:pos="193"/>
              </w:tabs>
              <w:spacing w:after="0" w:line="240" w:lineRule="auto"/>
              <w:ind w:left="23"/>
              <w:rPr>
                <w:rFonts w:ascii="Arial Narrow" w:hAnsi="Arial Narrow" w:cs="Tahoma"/>
                <w:color w:val="000000"/>
                <w:sz w:val="18"/>
                <w:szCs w:val="17"/>
              </w:rPr>
            </w:pPr>
            <w:r w:rsidRPr="00EE4B12">
              <w:rPr>
                <w:rFonts w:ascii="Arial Narrow" w:hAnsi="Arial Narrow" w:cs="Tahoma"/>
                <w:color w:val="000000"/>
                <w:sz w:val="18"/>
                <w:szCs w:val="17"/>
              </w:rPr>
              <w:t>A.</w:t>
            </w:r>
            <w:r w:rsidRPr="00EE4B12">
              <w:rPr>
                <w:rFonts w:ascii="Arial Narrow" w:hAnsi="Arial Narrow" w:cs="Tahoma"/>
                <w:color w:val="000000"/>
                <w:sz w:val="18"/>
                <w:szCs w:val="17"/>
              </w:rPr>
              <w:tab/>
              <w:t>Number of gun court slots</w:t>
            </w:r>
          </w:p>
          <w:p w:rsidR="007C7568" w:rsidRDefault="007C7568" w:rsidP="00293CED">
            <w:pPr>
              <w:keepLines/>
              <w:spacing w:after="0" w:line="240" w:lineRule="auto"/>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7C7568" w:rsidRPr="001A1B8D" w:rsidRDefault="007C7568" w:rsidP="00293CED">
            <w:pPr>
              <w:keepLines/>
              <w:spacing w:after="0" w:line="218" w:lineRule="atLeast"/>
              <w:rPr>
                <w:rFonts w:ascii="Arial Narrow" w:hAnsi="Arial Narrow" w:cs="Tahoma"/>
                <w:color w:val="000000"/>
                <w:sz w:val="18"/>
                <w:szCs w:val="17"/>
              </w:rPr>
            </w:pPr>
          </w:p>
        </w:tc>
        <w:tc>
          <w:tcPr>
            <w:tcW w:w="4242" w:type="dxa"/>
            <w:tcBorders>
              <w:top w:val="single" w:sz="6" w:space="0" w:color="000000"/>
              <w:bottom w:val="single" w:sz="6" w:space="0" w:color="000000"/>
              <w:right w:val="single" w:sz="6" w:space="0" w:color="000000"/>
            </w:tcBorders>
          </w:tcPr>
          <w:p w:rsidR="007C7568" w:rsidRPr="001A1B8D" w:rsidRDefault="007C756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7C7568" w:rsidRPr="004211A8" w:rsidRDefault="007C7568" w:rsidP="007C7568">
            <w:pPr>
              <w:pStyle w:val="ListParagraph"/>
              <w:keepLines/>
              <w:numPr>
                <w:ilvl w:val="0"/>
                <w:numId w:val="1"/>
              </w:numPr>
              <w:tabs>
                <w:tab w:val="left" w:pos="207"/>
              </w:tabs>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p w:rsidR="007C7568" w:rsidRPr="001A1B8D" w:rsidRDefault="007C7568" w:rsidP="00293CED">
            <w:pPr>
              <w:keepLines/>
              <w:spacing w:after="0" w:line="218" w:lineRule="atLeast"/>
              <w:rPr>
                <w:rFonts w:ascii="Arial Narrow" w:hAnsi="Arial Narrow" w:cs="Tahoma"/>
                <w:color w:val="000000"/>
                <w:sz w:val="18"/>
                <w:szCs w:val="17"/>
              </w:rPr>
            </w:pPr>
          </w:p>
        </w:tc>
        <w:tc>
          <w:tcPr>
            <w:tcW w:w="4242" w:type="dxa"/>
            <w:tcBorders>
              <w:top w:val="single" w:sz="6" w:space="0" w:color="000000"/>
              <w:bottom w:val="single" w:sz="6" w:space="0" w:color="000000"/>
              <w:right w:val="single" w:sz="6" w:space="0" w:color="000000"/>
            </w:tcBorders>
          </w:tcPr>
          <w:p w:rsidR="007C7568" w:rsidRPr="001A1B8D" w:rsidRDefault="007C756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7C7568" w:rsidRPr="004211A8" w:rsidRDefault="007C7568" w:rsidP="007C7568">
            <w:pPr>
              <w:pStyle w:val="ListParagraph"/>
              <w:keepLines/>
              <w:numPr>
                <w:ilvl w:val="0"/>
                <w:numId w:val="2"/>
              </w:numPr>
              <w:tabs>
                <w:tab w:val="left" w:pos="207"/>
              </w:tabs>
              <w:spacing w:after="0" w:line="218" w:lineRule="atLeast"/>
              <w:ind w:left="195" w:hanging="19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Pr="0033348B" w:rsidRDefault="007C7568"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42" w:type="dxa"/>
            <w:tcBorders>
              <w:top w:val="single" w:sz="6" w:space="0" w:color="000000"/>
              <w:bottom w:val="single" w:sz="6" w:space="0" w:color="000000"/>
              <w:right w:val="single" w:sz="6" w:space="0" w:color="000000"/>
            </w:tcBorders>
          </w:tcPr>
          <w:p w:rsidR="007C7568" w:rsidRPr="0033348B" w:rsidRDefault="007C7568"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60" w:type="dxa"/>
            <w:tcBorders>
              <w:top w:val="single" w:sz="6" w:space="0" w:color="000000"/>
              <w:bottom w:val="single" w:sz="6" w:space="0" w:color="000000"/>
              <w:right w:val="single" w:sz="6" w:space="0" w:color="000000"/>
            </w:tcBorders>
          </w:tcPr>
          <w:p w:rsidR="007C7568" w:rsidRPr="0033348B" w:rsidRDefault="007C7568" w:rsidP="007C7568">
            <w:pPr>
              <w:pStyle w:val="ListParagraph"/>
              <w:keepLines/>
              <w:numPr>
                <w:ilvl w:val="0"/>
                <w:numId w:val="3"/>
              </w:numPr>
              <w:tabs>
                <w:tab w:val="left" w:pos="207"/>
              </w:tabs>
              <w:spacing w:after="0" w:line="218" w:lineRule="atLeast"/>
              <w:ind w:left="195" w:hanging="195"/>
              <w:rPr>
                <w:rFonts w:ascii="Arial Narrow" w:hAnsi="Arial Narrow" w:cs="Tahoma"/>
                <w:sz w:val="18"/>
                <w:szCs w:val="18"/>
              </w:rPr>
            </w:pPr>
            <w:r w:rsidRPr="007F4E33">
              <w:rPr>
                <w:rFonts w:ascii="Arial Narrow" w:hAnsi="Arial Narrow" w:cs="Tahoma"/>
                <w:sz w:val="18"/>
                <w:szCs w:val="18"/>
              </w:rPr>
              <w:t>Number of program materials developed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Pr="0040497B" w:rsidRDefault="007C7568"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42" w:type="dxa"/>
            <w:tcBorders>
              <w:top w:val="single" w:sz="6" w:space="0" w:color="000000"/>
              <w:bottom w:val="single" w:sz="6" w:space="0" w:color="000000"/>
              <w:right w:val="single" w:sz="6" w:space="0" w:color="000000"/>
            </w:tcBorders>
          </w:tcPr>
          <w:p w:rsidR="007C7568" w:rsidRPr="0040497B" w:rsidRDefault="007C7568"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60" w:type="dxa"/>
            <w:tcBorders>
              <w:top w:val="single" w:sz="6" w:space="0" w:color="000000"/>
              <w:bottom w:val="single" w:sz="6" w:space="0" w:color="000000"/>
              <w:right w:val="single" w:sz="6" w:space="0" w:color="000000"/>
            </w:tcBorders>
          </w:tcPr>
          <w:p w:rsidR="007C7568" w:rsidRPr="004211A8" w:rsidRDefault="007C7568" w:rsidP="007C7568">
            <w:pPr>
              <w:pStyle w:val="ListParagraph"/>
              <w:keepLines/>
              <w:numPr>
                <w:ilvl w:val="0"/>
                <w:numId w:val="4"/>
              </w:numPr>
              <w:tabs>
                <w:tab w:val="left" w:pos="207"/>
              </w:tabs>
              <w:spacing w:after="0" w:line="218" w:lineRule="atLeast"/>
              <w:ind w:left="195" w:hanging="19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Pr="0033348B" w:rsidRDefault="007C7568" w:rsidP="00293CED">
            <w:pPr>
              <w:spacing w:after="0" w:line="240" w:lineRule="auto"/>
              <w:rPr>
                <w:rFonts w:ascii="Arial Narrow" w:hAnsi="Arial Narrow" w:cs="Tahoma"/>
                <w:sz w:val="18"/>
                <w:szCs w:val="18"/>
              </w:rPr>
            </w:pPr>
            <w:r w:rsidRPr="007F4E33">
              <w:rPr>
                <w:rFonts w:ascii="Arial Narrow" w:hAnsi="Arial Narrow" w:cs="Tahoma"/>
                <w:sz w:val="18"/>
                <w:szCs w:val="18"/>
              </w:rPr>
              <w:t>Number of people trained during the reporting period</w:t>
            </w:r>
          </w:p>
        </w:tc>
        <w:tc>
          <w:tcPr>
            <w:tcW w:w="4242" w:type="dxa"/>
            <w:tcBorders>
              <w:top w:val="single" w:sz="6" w:space="0" w:color="000000"/>
              <w:bottom w:val="single" w:sz="6" w:space="0" w:color="000000"/>
              <w:right w:val="single" w:sz="6" w:space="0" w:color="000000"/>
            </w:tcBorders>
          </w:tcPr>
          <w:p w:rsidR="007C7568" w:rsidRPr="0033348B" w:rsidRDefault="007C7568"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60" w:type="dxa"/>
            <w:tcBorders>
              <w:top w:val="single" w:sz="6" w:space="0" w:color="000000"/>
              <w:bottom w:val="single" w:sz="6" w:space="0" w:color="000000"/>
              <w:right w:val="single" w:sz="6" w:space="0" w:color="000000"/>
            </w:tcBorders>
          </w:tcPr>
          <w:p w:rsidR="007C7568" w:rsidRPr="0033348B" w:rsidRDefault="007C7568" w:rsidP="007C7568">
            <w:pPr>
              <w:pStyle w:val="ListParagraph"/>
              <w:keepLines/>
              <w:numPr>
                <w:ilvl w:val="0"/>
                <w:numId w:val="5"/>
              </w:numPr>
              <w:tabs>
                <w:tab w:val="left" w:pos="207"/>
              </w:tabs>
              <w:spacing w:after="0" w:line="218" w:lineRule="atLeast"/>
              <w:rPr>
                <w:rFonts w:ascii="Arial Narrow" w:hAnsi="Arial Narrow" w:cs="Tahoma"/>
                <w:sz w:val="18"/>
                <w:szCs w:val="18"/>
              </w:rPr>
            </w:pPr>
            <w:r w:rsidRPr="007F4E33">
              <w:rPr>
                <w:rFonts w:ascii="Arial Narrow" w:hAnsi="Arial Narrow" w:cs="Tahoma"/>
                <w:sz w:val="18"/>
                <w:szCs w:val="18"/>
              </w:rPr>
              <w:t>Number of people trained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p w:rsidR="007C7568" w:rsidRPr="001A1B8D" w:rsidRDefault="007C7568" w:rsidP="00293CED">
            <w:pPr>
              <w:keepLines/>
              <w:spacing w:after="0" w:line="218" w:lineRule="atLeast"/>
              <w:rPr>
                <w:rFonts w:ascii="Arial Narrow" w:hAnsi="Arial Narrow" w:cs="Tahoma"/>
                <w:color w:val="000000"/>
                <w:sz w:val="18"/>
                <w:szCs w:val="17"/>
              </w:rPr>
            </w:pPr>
          </w:p>
        </w:tc>
        <w:tc>
          <w:tcPr>
            <w:tcW w:w="4242" w:type="dxa"/>
            <w:tcBorders>
              <w:top w:val="single" w:sz="6" w:space="0" w:color="000000"/>
              <w:bottom w:val="single" w:sz="6" w:space="0" w:color="000000"/>
              <w:right w:val="single" w:sz="6" w:space="0" w:color="000000"/>
            </w:tcBorders>
          </w:tcPr>
          <w:p w:rsidR="007C7568" w:rsidRPr="001A1B8D" w:rsidRDefault="007C7568"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60" w:type="dxa"/>
            <w:tcBorders>
              <w:top w:val="single" w:sz="6" w:space="0" w:color="000000"/>
              <w:bottom w:val="single" w:sz="6" w:space="0" w:color="000000"/>
              <w:right w:val="single" w:sz="6" w:space="0" w:color="000000"/>
            </w:tcBorders>
          </w:tcPr>
          <w:p w:rsidR="007C7568" w:rsidRPr="0040497B" w:rsidRDefault="007C7568" w:rsidP="001B347A">
            <w:pPr>
              <w:keepLines/>
              <w:numPr>
                <w:ilvl w:val="0"/>
                <w:numId w:val="6"/>
              </w:numPr>
              <w:spacing w:after="0" w:line="240" w:lineRule="auto"/>
              <w:ind w:left="231" w:hanging="231"/>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7C7568" w:rsidRPr="0040497B" w:rsidRDefault="007C7568" w:rsidP="001B347A">
            <w:pPr>
              <w:keepLines/>
              <w:numPr>
                <w:ilvl w:val="0"/>
                <w:numId w:val="6"/>
              </w:numPr>
              <w:spacing w:after="0" w:line="240" w:lineRule="auto"/>
              <w:ind w:left="231" w:hanging="231"/>
              <w:rPr>
                <w:rFonts w:ascii="Arial Narrow" w:hAnsi="Arial Narrow" w:cs="Tahoma"/>
                <w:sz w:val="18"/>
                <w:szCs w:val="18"/>
              </w:rPr>
            </w:pPr>
            <w:r w:rsidRPr="0040497B">
              <w:rPr>
                <w:rFonts w:ascii="Arial Narrow" w:hAnsi="Arial Narrow" w:cs="Tahoma"/>
                <w:sz w:val="18"/>
                <w:szCs w:val="18"/>
              </w:rPr>
              <w:t>Number of programs served by TTA</w:t>
            </w:r>
          </w:p>
          <w:p w:rsidR="007C7568" w:rsidRPr="0040497B" w:rsidRDefault="007C7568" w:rsidP="001B347A">
            <w:pPr>
              <w:keepLines/>
              <w:numPr>
                <w:ilvl w:val="0"/>
                <w:numId w:val="6"/>
              </w:numPr>
              <w:spacing w:after="0" w:line="240" w:lineRule="auto"/>
              <w:ind w:left="231" w:hanging="231"/>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7C7568" w:rsidRPr="00417A72" w:rsidRDefault="007C7568" w:rsidP="00293CED">
            <w:pPr>
              <w:keepLines/>
              <w:spacing w:after="0" w:line="240" w:lineRule="auto"/>
              <w:rPr>
                <w:rFonts w:ascii="Arial Narrow" w:hAnsi="Arial Narrow" w:cs="Tahoma"/>
                <w:bCs/>
                <w:sz w:val="18"/>
                <w:szCs w:val="18"/>
              </w:rPr>
            </w:pPr>
          </w:p>
        </w:tc>
        <w:tc>
          <w:tcPr>
            <w:tcW w:w="4242" w:type="dxa"/>
            <w:tcBorders>
              <w:top w:val="single" w:sz="6" w:space="0" w:color="000000"/>
              <w:bottom w:val="single" w:sz="6" w:space="0" w:color="000000"/>
              <w:right w:val="single" w:sz="6" w:space="0" w:color="000000"/>
            </w:tcBorders>
          </w:tcPr>
          <w:p w:rsidR="007C7568" w:rsidRPr="00417A72" w:rsidRDefault="007C756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60" w:type="dxa"/>
            <w:tcBorders>
              <w:top w:val="single" w:sz="6" w:space="0" w:color="000000"/>
              <w:bottom w:val="single" w:sz="6" w:space="0" w:color="000000"/>
              <w:right w:val="single" w:sz="6" w:space="0" w:color="000000"/>
            </w:tcBorders>
          </w:tcPr>
          <w:p w:rsidR="007C7568" w:rsidRPr="0040497B" w:rsidRDefault="007C7568" w:rsidP="003E1F58">
            <w:pPr>
              <w:keepLines/>
              <w:numPr>
                <w:ilvl w:val="0"/>
                <w:numId w:val="12"/>
              </w:numPr>
              <w:spacing w:after="0" w:line="240" w:lineRule="auto"/>
              <w:ind w:left="231" w:hanging="231"/>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7C7568" w:rsidRPr="0040497B" w:rsidRDefault="007C7568" w:rsidP="003E1F58">
            <w:pPr>
              <w:keepLines/>
              <w:numPr>
                <w:ilvl w:val="0"/>
                <w:numId w:val="12"/>
              </w:numPr>
              <w:spacing w:after="0" w:line="240" w:lineRule="auto"/>
              <w:ind w:left="231" w:hanging="231"/>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7C7568" w:rsidRPr="00904641" w:rsidRDefault="007C7568" w:rsidP="00293CED">
            <w:pPr>
              <w:keepLines/>
              <w:spacing w:after="0" w:line="240" w:lineRule="auto"/>
              <w:rPr>
                <w:rFonts w:ascii="Arial Narrow" w:hAnsi="Arial Narrow" w:cs="Tahoma"/>
                <w:bCs/>
                <w:sz w:val="18"/>
                <w:szCs w:val="18"/>
              </w:rPr>
            </w:pPr>
          </w:p>
        </w:tc>
        <w:tc>
          <w:tcPr>
            <w:tcW w:w="4242" w:type="dxa"/>
            <w:tcBorders>
              <w:top w:val="single" w:sz="6" w:space="0" w:color="000000"/>
              <w:bottom w:val="single" w:sz="6" w:space="0" w:color="000000"/>
              <w:right w:val="single" w:sz="6" w:space="0" w:color="000000"/>
            </w:tcBorders>
          </w:tcPr>
          <w:p w:rsidR="007C7568" w:rsidRPr="00904641" w:rsidRDefault="007C756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60" w:type="dxa"/>
            <w:tcBorders>
              <w:top w:val="single" w:sz="6" w:space="0" w:color="000000"/>
              <w:bottom w:val="single" w:sz="6" w:space="0" w:color="000000"/>
              <w:right w:val="single" w:sz="6" w:space="0" w:color="000000"/>
            </w:tcBorders>
          </w:tcPr>
          <w:p w:rsidR="007C7568" w:rsidRPr="0040497B" w:rsidRDefault="007C7568" w:rsidP="003102F2">
            <w:pPr>
              <w:keepLines/>
              <w:numPr>
                <w:ilvl w:val="0"/>
                <w:numId w:val="8"/>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7C7568" w:rsidRPr="0040497B" w:rsidRDefault="007C7568" w:rsidP="003102F2">
            <w:pPr>
              <w:keepLines/>
              <w:numPr>
                <w:ilvl w:val="0"/>
                <w:numId w:val="8"/>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7C7568" w:rsidRPr="0040497B" w:rsidRDefault="007C7568" w:rsidP="003102F2">
            <w:pPr>
              <w:keepLines/>
              <w:numPr>
                <w:ilvl w:val="0"/>
                <w:numId w:val="8"/>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r w:rsidR="007C7568" w:rsidRPr="00EE4B12" w:rsidTr="003E1F58">
        <w:trPr>
          <w:cantSplit/>
        </w:trPr>
        <w:tc>
          <w:tcPr>
            <w:tcW w:w="0" w:type="auto"/>
            <w:tcBorders>
              <w:top w:val="single" w:sz="6" w:space="0" w:color="000000"/>
              <w:left w:val="single" w:sz="6" w:space="0" w:color="000000"/>
              <w:bottom w:val="single" w:sz="6" w:space="0" w:color="000000"/>
            </w:tcBorders>
          </w:tcPr>
          <w:p w:rsidR="007C7568" w:rsidRPr="00CB717F" w:rsidRDefault="007C7568" w:rsidP="00CB717F">
            <w:pPr>
              <w:pStyle w:val="ListParagraph"/>
              <w:keepLines/>
              <w:numPr>
                <w:ilvl w:val="0"/>
                <w:numId w:val="10"/>
              </w:numPr>
              <w:spacing w:after="0" w:line="218" w:lineRule="atLeast"/>
              <w:rPr>
                <w:rFonts w:ascii="Arial Narrow" w:hAnsi="Arial Narrow" w:cs="Tahoma"/>
                <w:color w:val="000000"/>
                <w:sz w:val="18"/>
                <w:szCs w:val="17"/>
              </w:rPr>
            </w:pPr>
          </w:p>
        </w:tc>
        <w:tc>
          <w:tcPr>
            <w:tcW w:w="0" w:type="auto"/>
            <w:tcBorders>
              <w:top w:val="single" w:sz="6" w:space="0" w:color="000000"/>
              <w:left w:val="single" w:sz="6" w:space="0" w:color="000000"/>
              <w:bottom w:val="single" w:sz="6" w:space="0" w:color="000000"/>
              <w:right w:val="single" w:sz="6" w:space="0" w:color="000000"/>
            </w:tcBorders>
          </w:tcPr>
          <w:p w:rsidR="007C7568" w:rsidRPr="0033348B" w:rsidRDefault="007C7568"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42" w:type="dxa"/>
            <w:tcBorders>
              <w:top w:val="single" w:sz="6" w:space="0" w:color="000000"/>
              <w:bottom w:val="single" w:sz="6" w:space="0" w:color="000000"/>
              <w:right w:val="single" w:sz="6" w:space="0" w:color="000000"/>
            </w:tcBorders>
          </w:tcPr>
          <w:p w:rsidR="007C7568" w:rsidRPr="0033348B" w:rsidRDefault="007C7568"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60" w:type="dxa"/>
            <w:tcBorders>
              <w:top w:val="single" w:sz="6" w:space="0" w:color="000000"/>
              <w:bottom w:val="single" w:sz="6" w:space="0" w:color="000000"/>
              <w:right w:val="single" w:sz="6" w:space="0" w:color="000000"/>
            </w:tcBorders>
          </w:tcPr>
          <w:p w:rsidR="007C7568" w:rsidRPr="0040497B" w:rsidRDefault="007C7568" w:rsidP="003102F2">
            <w:pPr>
              <w:keepLines/>
              <w:numPr>
                <w:ilvl w:val="0"/>
                <w:numId w:val="9"/>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7C7568" w:rsidRPr="0040497B" w:rsidRDefault="007C7568" w:rsidP="003102F2">
            <w:pPr>
              <w:keepLines/>
              <w:numPr>
                <w:ilvl w:val="0"/>
                <w:numId w:val="9"/>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7C7568" w:rsidRPr="0040497B" w:rsidRDefault="007C7568" w:rsidP="003102F2">
            <w:pPr>
              <w:keepLines/>
              <w:numPr>
                <w:ilvl w:val="0"/>
                <w:numId w:val="9"/>
              </w:numPr>
              <w:spacing w:after="0" w:line="240" w:lineRule="auto"/>
              <w:ind w:left="285" w:hanging="270"/>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425" w:type="dxa"/>
            <w:tcBorders>
              <w:top w:val="single" w:sz="6" w:space="0" w:color="000000"/>
              <w:bottom w:val="single" w:sz="6" w:space="0" w:color="000000"/>
              <w:right w:val="single" w:sz="6" w:space="0" w:color="000000"/>
            </w:tcBorders>
          </w:tcPr>
          <w:p w:rsidR="007C7568" w:rsidRDefault="007C7568" w:rsidP="00293CED">
            <w:pPr>
              <w:keepLines/>
              <w:spacing w:after="0" w:line="218" w:lineRule="atLeast"/>
              <w:rPr>
                <w:rFonts w:ascii="Arial Narrow" w:hAnsi="Arial Narrow" w:cs="Tahoma"/>
                <w:color w:val="000000"/>
                <w:sz w:val="18"/>
                <w:szCs w:val="17"/>
              </w:rPr>
            </w:pPr>
          </w:p>
        </w:tc>
      </w:tr>
    </w:tbl>
    <w:p w:rsidR="007F62EE" w:rsidRDefault="007F62EE"/>
    <w:p w:rsidR="003102F2" w:rsidRDefault="003102F2">
      <w: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354"/>
        <w:gridCol w:w="2149"/>
        <w:gridCol w:w="4401"/>
        <w:gridCol w:w="2519"/>
        <w:gridCol w:w="1527"/>
      </w:tblGrid>
      <w:tr w:rsidR="007C7568" w:rsidRPr="00636FE4" w:rsidTr="003102F2">
        <w:trPr>
          <w:cantSplit/>
          <w:trHeight w:val="205"/>
          <w:tblHeader/>
        </w:trPr>
        <w:tc>
          <w:tcPr>
            <w:tcW w:w="355" w:type="dxa"/>
            <w:tcBorders>
              <w:right w:val="single" w:sz="6" w:space="0" w:color="FFFFFF" w:themeColor="background1"/>
            </w:tcBorders>
            <w:shd w:val="clear" w:color="auto" w:fill="003366"/>
            <w:vAlign w:val="center"/>
          </w:tcPr>
          <w:p w:rsidR="007C7568" w:rsidRPr="003102F2" w:rsidRDefault="007C7568" w:rsidP="00293CED">
            <w:pPr>
              <w:keepLines/>
              <w:spacing w:after="0" w:line="240" w:lineRule="auto"/>
              <w:rPr>
                <w:rFonts w:ascii="Arial Narrow Bold" w:hAnsi="Arial Narrow Bold" w:cs="Tahoma"/>
                <w:b/>
                <w:color w:val="FFFFFF"/>
                <w:sz w:val="18"/>
                <w:szCs w:val="18"/>
              </w:rPr>
            </w:pPr>
            <w:r w:rsidRPr="003102F2">
              <w:rPr>
                <w:rStyle w:val="Strong"/>
                <w:rFonts w:ascii="Arial Narrow Bold" w:hAnsi="Arial Narrow Bold" w:cs="Tahoma"/>
                <w:color w:val="FFFFFF"/>
                <w:sz w:val="18"/>
                <w:szCs w:val="18"/>
              </w:rPr>
              <w:lastRenderedPageBreak/>
              <w:t>#</w:t>
            </w:r>
          </w:p>
        </w:tc>
        <w:tc>
          <w:tcPr>
            <w:tcW w:w="2153" w:type="dxa"/>
            <w:tcBorders>
              <w:left w:val="single" w:sz="6" w:space="0" w:color="FFFFFF" w:themeColor="background1"/>
              <w:right w:val="single" w:sz="6" w:space="0" w:color="FFFFFF" w:themeColor="background1"/>
            </w:tcBorders>
            <w:shd w:val="clear" w:color="auto" w:fill="003366"/>
            <w:vAlign w:val="center"/>
          </w:tcPr>
          <w:p w:rsidR="007C7568" w:rsidRPr="003102F2" w:rsidRDefault="007C7568" w:rsidP="00293CED">
            <w:pPr>
              <w:keepLines/>
              <w:spacing w:after="0" w:line="240" w:lineRule="auto"/>
              <w:rPr>
                <w:rFonts w:ascii="Arial Narrow Bold" w:hAnsi="Arial Narrow Bold" w:cs="Tahoma"/>
                <w:b/>
                <w:color w:val="FFFFFF"/>
                <w:sz w:val="18"/>
                <w:szCs w:val="18"/>
              </w:rPr>
            </w:pPr>
            <w:r w:rsidRPr="003102F2">
              <w:rPr>
                <w:rStyle w:val="Strong"/>
                <w:rFonts w:ascii="Arial Narrow Bold" w:hAnsi="Arial Narrow Bold" w:cs="Tahoma"/>
                <w:color w:val="FFFFFF"/>
                <w:sz w:val="18"/>
                <w:szCs w:val="18"/>
              </w:rPr>
              <w:t>Outcome Measure</w:t>
            </w:r>
          </w:p>
        </w:tc>
        <w:tc>
          <w:tcPr>
            <w:tcW w:w="4417" w:type="dxa"/>
            <w:tcBorders>
              <w:left w:val="single" w:sz="6" w:space="0" w:color="FFFFFF" w:themeColor="background1"/>
              <w:right w:val="single" w:sz="6" w:space="0" w:color="FFFFFF" w:themeColor="background1"/>
            </w:tcBorders>
            <w:shd w:val="clear" w:color="auto" w:fill="003366"/>
            <w:vAlign w:val="center"/>
          </w:tcPr>
          <w:p w:rsidR="007C7568" w:rsidRPr="003102F2" w:rsidRDefault="007C7568" w:rsidP="00293CED">
            <w:pPr>
              <w:keepLines/>
              <w:spacing w:after="0" w:line="240" w:lineRule="auto"/>
              <w:rPr>
                <w:rFonts w:ascii="Arial Narrow Bold" w:hAnsi="Arial Narrow Bold" w:cs="Tahoma"/>
                <w:b/>
                <w:color w:val="FFFFFF"/>
                <w:sz w:val="18"/>
                <w:szCs w:val="18"/>
              </w:rPr>
            </w:pPr>
            <w:r w:rsidRPr="003102F2">
              <w:rPr>
                <w:rStyle w:val="Strong"/>
                <w:rFonts w:ascii="Arial Narrow Bold" w:hAnsi="Arial Narrow Bold" w:cs="Tahoma"/>
                <w:color w:val="FFFFFF"/>
                <w:sz w:val="18"/>
                <w:szCs w:val="18"/>
              </w:rPr>
              <w:t>Definition</w:t>
            </w:r>
          </w:p>
        </w:tc>
        <w:tc>
          <w:tcPr>
            <w:tcW w:w="2519" w:type="dxa"/>
            <w:tcBorders>
              <w:left w:val="single" w:sz="6" w:space="0" w:color="FFFFFF" w:themeColor="background1"/>
              <w:right w:val="single" w:sz="6" w:space="0" w:color="FFFFFF" w:themeColor="background1"/>
            </w:tcBorders>
            <w:shd w:val="clear" w:color="auto" w:fill="003366"/>
            <w:noWrap/>
            <w:vAlign w:val="center"/>
          </w:tcPr>
          <w:p w:rsidR="007C7568" w:rsidRPr="003102F2" w:rsidRDefault="007C7568" w:rsidP="00293CED">
            <w:pPr>
              <w:keepLines/>
              <w:spacing w:after="0" w:line="240" w:lineRule="auto"/>
              <w:rPr>
                <w:rFonts w:ascii="Arial Narrow Bold" w:hAnsi="Arial Narrow Bold" w:cs="Tahoma"/>
                <w:b/>
                <w:color w:val="FFFFFF"/>
                <w:sz w:val="18"/>
                <w:szCs w:val="18"/>
              </w:rPr>
            </w:pPr>
            <w:r w:rsidRPr="003102F2">
              <w:rPr>
                <w:rStyle w:val="Strong"/>
                <w:rFonts w:ascii="Arial Narrow Bold" w:hAnsi="Arial Narrow Bold" w:cs="Tahoma"/>
                <w:color w:val="FFFFFF"/>
                <w:sz w:val="18"/>
                <w:szCs w:val="18"/>
              </w:rPr>
              <w:t>Data Grantee Provides</w:t>
            </w:r>
          </w:p>
        </w:tc>
        <w:tc>
          <w:tcPr>
            <w:tcW w:w="1531" w:type="dxa"/>
            <w:tcBorders>
              <w:left w:val="single" w:sz="6" w:space="0" w:color="FFFFFF" w:themeColor="background1"/>
            </w:tcBorders>
            <w:shd w:val="clear" w:color="auto" w:fill="003366"/>
          </w:tcPr>
          <w:p w:rsidR="007C7568" w:rsidRPr="003102F2" w:rsidRDefault="007C7568" w:rsidP="00293CED">
            <w:pPr>
              <w:keepLines/>
              <w:spacing w:after="0" w:line="240" w:lineRule="auto"/>
              <w:rPr>
                <w:rStyle w:val="Strong"/>
                <w:rFonts w:ascii="Arial Narrow Bold" w:hAnsi="Arial Narrow Bold" w:cs="Tahoma"/>
                <w:color w:val="FFFFFF"/>
                <w:sz w:val="18"/>
                <w:szCs w:val="18"/>
              </w:rPr>
            </w:pPr>
            <w:r w:rsidRPr="003102F2">
              <w:rPr>
                <w:rStyle w:val="Strong"/>
                <w:rFonts w:ascii="Arial Narrow Bold" w:hAnsi="Arial Narrow Bold" w:cs="Tahoma"/>
                <w:color w:val="FFFFFF"/>
                <w:sz w:val="18"/>
                <w:szCs w:val="18"/>
              </w:rPr>
              <w:t>Record Data Here</w:t>
            </w: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Time in days from arrest to enrollment in the gun court</w:t>
            </w:r>
            <w:r>
              <w:rPr>
                <w:rFonts w:ascii="Arial Narrow" w:hAnsi="Arial Narrow" w:cs="Tahoma"/>
                <w:color w:val="000000"/>
                <w:sz w:val="18"/>
                <w:szCs w:val="17"/>
              </w:rPr>
              <w:t xml:space="preserve"> (short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gun court program. Report the raw number of calendar days from the arrest of a juvenile offender to his/her first participation in the gun court. For example, this might be the youth/family signing consent to participate, engaging in a gun court assessment, or a meeting between the family and the gun court staff to explain the requirements of the gun court.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days from arrest to enrollment</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treatment (clinical) slots available to the gun court</w:t>
            </w:r>
            <w:r>
              <w:rPr>
                <w:rFonts w:ascii="Arial Narrow" w:hAnsi="Arial Narrow" w:cs="Tahoma"/>
                <w:color w:val="000000"/>
                <w:sz w:val="18"/>
                <w:szCs w:val="17"/>
              </w:rPr>
              <w:t xml:space="preserve"> (short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clinical treatment slots to which the gun court can refer youth. For example, if the court is able to refer 10 youth to residential drug treatment, 15 youth to outpatient mental health services, and 30 youth for physical examinations at any one time, the program would report having 55 slots.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clinical treatment slots</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types of treatment (clinical) offered through the gun court</w:t>
            </w:r>
            <w:r>
              <w:rPr>
                <w:rFonts w:ascii="Arial Narrow" w:hAnsi="Arial Narrow" w:cs="Tahoma"/>
                <w:color w:val="000000"/>
                <w:sz w:val="18"/>
                <w:szCs w:val="17"/>
              </w:rPr>
              <w:t xml:space="preserve"> (short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 xml:space="preserve">Measure of program quality based on the idea that for a specialty court to be effective, it has to have adequate ability to refer youth to needed services. Appropriate for any gun court. Report the number of different types of clinical treatment to which the gun court can refer youth. Include treatment types for which there </w:t>
            </w:r>
            <w:r>
              <w:rPr>
                <w:rFonts w:ascii="Arial Narrow" w:hAnsi="Arial Narrow" w:cs="Tahoma"/>
                <w:color w:val="000000"/>
                <w:sz w:val="18"/>
                <w:szCs w:val="17"/>
              </w:rPr>
              <w:t xml:space="preserve">are </w:t>
            </w:r>
            <w:r w:rsidRPr="00496B95">
              <w:rPr>
                <w:rFonts w:ascii="Arial Narrow" w:hAnsi="Arial Narrow" w:cs="Tahoma"/>
                <w:color w:val="000000"/>
                <w:sz w:val="18"/>
                <w:szCs w:val="17"/>
              </w:rPr>
              <w:t>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types of clinical treatment available</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service (non-clinical) slots available to the gun court</w:t>
            </w:r>
            <w:r>
              <w:rPr>
                <w:rFonts w:ascii="Arial Narrow" w:hAnsi="Arial Narrow" w:cs="Tahoma"/>
                <w:color w:val="000000"/>
                <w:sz w:val="18"/>
                <w:szCs w:val="17"/>
              </w:rPr>
              <w:t xml:space="preserve"> (short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non-clinical service slots to which the gun court can refer youth. For example, if the court is able to refer 10 youth to life skills training, 15 youth to vocational training, and 30 youth for GED classes, the program would report having 55 slots.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non-clinical service slots</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types of service offered through the gun court</w:t>
            </w:r>
            <w:r>
              <w:rPr>
                <w:rFonts w:ascii="Arial Narrow" w:hAnsi="Arial Narrow" w:cs="Tahoma"/>
                <w:color w:val="000000"/>
                <w:sz w:val="18"/>
                <w:szCs w:val="17"/>
              </w:rPr>
              <w:t xml:space="preserve"> (short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for a specialty court to be effective, it has to have adequate ability to refer youth to needed services. Appropriate for any gun court. Report the number of different types of non-clinical services to which the gun court can refer youth. Include service types for which there is an agreement or history of referral, not service types that the court can refer to if a need arises. For example, services may include transportation, food vouchers, housing assistance, help getting back into school.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types of non-clinical service</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eligible youth to enter the gun court</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the system has a responsibility to serve as many eligible youth as possible. Appropriate for any gun court or larger jurisdiction that includes a gun court. Report the raw number of juveniles who actually become enrolled in the gun court. Enrollment may include things like signing a participation agreement, assignment of a gun court case specialist, or appearing before a gun court judge. Percent is the raw number divided by the number of juveniles who meet minimal gun court eligibility. For example, if eligibility is based on the commission of a certain group of crimes and 100 youth commit at least one of those crimes, and the gun court enrolls 30 people, the percent would be 30.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enrolled</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eligible</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judicial contacts per youth per month</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require strict monitoring of their participants. Appropriate for any gun court. Report the average number of judicial contacts with gun court participants per month. Specifically, take the number of judicial contacts with gun court youth in a 1-month period. Divide that number by the number of youth enrolled during any part of that month.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judicial contacts with youth</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gun court</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Number of contacts per youth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hours of treatment received per youth participating in the gun court</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treatment receipt than do traditional courts. Appropriate for any gun court. Report the average number of clinical treatment hours received per youth per month. Specifically, take the number of clinical treatment hours that gun court youth receive in a 1-month period. Divide that number by the number of youth enrolled during any part of that month in clinical treatment, which include services provided by a licensed professional such as a medical doctor, psychologist, licensed social worker, certified family counselor, or certified addictions specialist.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hours of clinical treatment received</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the gun court</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Number of clinical hours per youth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Service intensity</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days of service per youth while enrolled</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Average number of days youth are enrolled</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families of participants to actually participate in at least one recommended service (not including court appearances)</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client accountability. Appropriate for any gun court program. Report the raw number of families with a member enrolled in the gun court to participate in at least one gun court service or treatment. Do not include appearances by family members at court dates or family members who solely drop youth off for their gun court requirements. Percent is the raw number divided by the total number of families that have a member enrolled in the gun court.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families to participate</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families with a youth enrolled</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Average number of different services and treatments received by youth gun court participants</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gun court. Report the average number of different types of service or clinical treatment received by gun court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types of service received per client</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of days of youth enrollment in the gun court</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gun court. Report the average number of calendar days that youth enroll in the gun court. Enrollment includes things like signing a participation agreement, assignment of a gun court case specialist, or appearing before a gun court judge. Include active enrollment, not days on court rolls but where youth cannot be located or are otherwise non-participants (e.g., have moved out of the jurisdiction, but the paperwork to close the case has not been processed).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number of days of court enrollment per youth</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treatment/services referred to as part of the gun court</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gun courts with appropriate resources will have higher rates of treatment/service completion than would poor-quality programs. Appropriate for any gun court. Report the raw number of youth that successfully complete all of the treatment and service programs that they enter as part of the gun court. Percent is the raw number divided by the total number of youth to enter at least one service or treatment through the gun court.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to successfully complete their treatment/service requirements</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enrolled in treatment/service</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youth to successfully complete their gun court requirements</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quality based on the idea that well-operated gun courts with appropriate resources will have higher rates of completion than would poor-quality programs. Appropriate for any gun court. Report the raw number of youth that successfully complete all of their gun court requirements (service, treatment, and legal). Percent is the raw number divided by the total number of youth to enroll in the gun court. Enrollment includes things like signing a participation agreement, assignment of a gun court case specialist, or appearing before a gun court judge. "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youth to successfully complete their gun court requirements</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youth to exit the gun court</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Cost savings per case</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program efficiency. Appropriate for any gun court. Report the average cost in dollars to adjudicate a youth through the gun court subtracted from the average cost for adjudication of equivalent cases by the regular court.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Average cost per gun court case</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Average cost per equivalent non-gun court case</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Cost savings (b-a)</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court appearances missed by gun court participants</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youth accountability. Appropriate for any gun court. Report the raw number of court appearances missed by gun court participants. Percent is the raw number divided by the total number of court appearances scheduled.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missed court appearances</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appointments</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r w:rsidR="007C7568" w:rsidRPr="00496B95" w:rsidTr="003102F2">
        <w:trPr>
          <w:cantSplit/>
        </w:trPr>
        <w:tc>
          <w:tcPr>
            <w:tcW w:w="355" w:type="dxa"/>
          </w:tcPr>
          <w:p w:rsidR="007C7568" w:rsidRPr="00CB717F" w:rsidRDefault="007C7568" w:rsidP="00CB717F">
            <w:pPr>
              <w:pStyle w:val="ListParagraph"/>
              <w:keepLines/>
              <w:numPr>
                <w:ilvl w:val="0"/>
                <w:numId w:val="10"/>
              </w:numPr>
              <w:spacing w:after="0" w:line="240" w:lineRule="auto"/>
              <w:rPr>
                <w:rFonts w:ascii="Arial Narrow" w:hAnsi="Arial Narrow" w:cs="Tahoma"/>
                <w:color w:val="000000"/>
                <w:sz w:val="18"/>
                <w:szCs w:val="17"/>
              </w:rPr>
            </w:pPr>
          </w:p>
        </w:tc>
        <w:tc>
          <w:tcPr>
            <w:tcW w:w="2153"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Number and percent of gun court participants for whom a bench warrant is issued</w:t>
            </w:r>
            <w:r>
              <w:rPr>
                <w:rFonts w:ascii="Arial Narrow" w:hAnsi="Arial Narrow" w:cs="Tahoma"/>
                <w:color w:val="000000"/>
                <w:sz w:val="18"/>
                <w:szCs w:val="17"/>
              </w:rPr>
              <w:t xml:space="preserve"> (intermediate term)</w:t>
            </w:r>
          </w:p>
        </w:tc>
        <w:tc>
          <w:tcPr>
            <w:tcW w:w="4417" w:type="dxa"/>
          </w:tcPr>
          <w:p w:rsidR="007C7568" w:rsidRDefault="007C7568" w:rsidP="00293CED">
            <w:pPr>
              <w:keepLines/>
              <w:spacing w:after="0" w:line="240" w:lineRule="auto"/>
              <w:rPr>
                <w:rFonts w:ascii="Arial Narrow" w:hAnsi="Arial Narrow" w:cs="Tahoma"/>
                <w:color w:val="000000"/>
                <w:sz w:val="18"/>
                <w:szCs w:val="17"/>
              </w:rPr>
            </w:pPr>
            <w:r w:rsidRPr="00496B95">
              <w:rPr>
                <w:rFonts w:ascii="Arial Narrow" w:hAnsi="Arial Narrow" w:cs="Tahoma"/>
                <w:color w:val="000000"/>
                <w:sz w:val="18"/>
                <w:szCs w:val="17"/>
              </w:rPr>
              <w:t>Measure of system accountability. Appropriate for any gun court. Report the raw number of gun court participants to be issued a bench warrant. Percent is the raw number divided by the number of gun court participants enrolled during any part of the reporting period. </w:t>
            </w:r>
          </w:p>
        </w:tc>
        <w:tc>
          <w:tcPr>
            <w:tcW w:w="2519" w:type="dxa"/>
          </w:tcPr>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A.</w:t>
            </w:r>
            <w:r w:rsidRPr="00496B95">
              <w:rPr>
                <w:rFonts w:ascii="Arial Narrow" w:hAnsi="Arial Narrow" w:cs="Tahoma"/>
                <w:color w:val="000000"/>
                <w:sz w:val="18"/>
                <w:szCs w:val="17"/>
              </w:rPr>
              <w:tab/>
              <w:t>Number of participants issued a bench warrant</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B.</w:t>
            </w:r>
            <w:r w:rsidRPr="00496B95">
              <w:rPr>
                <w:rFonts w:ascii="Arial Narrow" w:hAnsi="Arial Narrow" w:cs="Tahoma"/>
                <w:color w:val="000000"/>
                <w:sz w:val="18"/>
                <w:szCs w:val="17"/>
              </w:rPr>
              <w:tab/>
              <w:t>Number of participants</w:t>
            </w:r>
          </w:p>
          <w:p w:rsidR="007C7568" w:rsidRDefault="007C7568" w:rsidP="00293CED">
            <w:pPr>
              <w:keepLines/>
              <w:tabs>
                <w:tab w:val="left" w:pos="207"/>
              </w:tabs>
              <w:spacing w:after="0" w:line="240" w:lineRule="auto"/>
              <w:ind w:left="195" w:hanging="172"/>
              <w:rPr>
                <w:rFonts w:ascii="Arial Narrow" w:hAnsi="Arial Narrow" w:cs="Tahoma"/>
                <w:color w:val="000000"/>
                <w:sz w:val="18"/>
                <w:szCs w:val="17"/>
              </w:rPr>
            </w:pPr>
            <w:r w:rsidRPr="00496B95">
              <w:rPr>
                <w:rFonts w:ascii="Arial Narrow" w:hAnsi="Arial Narrow" w:cs="Tahoma"/>
                <w:color w:val="000000"/>
                <w:sz w:val="18"/>
                <w:szCs w:val="17"/>
              </w:rPr>
              <w:t>C.</w:t>
            </w:r>
            <w:r w:rsidRPr="00496B95">
              <w:rPr>
                <w:rFonts w:ascii="Arial Narrow" w:hAnsi="Arial Narrow" w:cs="Tahoma"/>
                <w:color w:val="000000"/>
                <w:sz w:val="18"/>
                <w:szCs w:val="17"/>
              </w:rPr>
              <w:tab/>
              <w:t>Percent (a/b)</w:t>
            </w:r>
          </w:p>
          <w:p w:rsidR="007C7568" w:rsidRDefault="007C7568" w:rsidP="00293CED">
            <w:pPr>
              <w:keepLines/>
              <w:spacing w:after="0" w:line="240" w:lineRule="auto"/>
              <w:rPr>
                <w:rFonts w:ascii="Arial Narrow" w:hAnsi="Arial Narrow" w:cs="Tahoma"/>
                <w:color w:val="000000"/>
                <w:sz w:val="18"/>
                <w:szCs w:val="17"/>
              </w:rPr>
            </w:pPr>
          </w:p>
        </w:tc>
        <w:tc>
          <w:tcPr>
            <w:tcW w:w="1531" w:type="dxa"/>
          </w:tcPr>
          <w:p w:rsidR="007C7568" w:rsidRDefault="007C7568" w:rsidP="00293CED">
            <w:pPr>
              <w:keepLines/>
              <w:spacing w:after="0" w:line="240" w:lineRule="auto"/>
              <w:rPr>
                <w:rFonts w:ascii="Arial Narrow" w:hAnsi="Arial Narrow" w:cs="Tahoma"/>
                <w:color w:val="000000"/>
                <w:sz w:val="18"/>
                <w:szCs w:val="17"/>
              </w:rPr>
            </w:pPr>
          </w:p>
        </w:tc>
      </w:tr>
    </w:tbl>
    <w:p w:rsidR="007C7568" w:rsidRDefault="007C7568"/>
    <w:sectPr w:rsidR="007C7568" w:rsidSect="007C756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E75" w:rsidRDefault="00A17E75" w:rsidP="007C7568">
      <w:pPr>
        <w:spacing w:after="0" w:line="240" w:lineRule="auto"/>
      </w:pPr>
      <w:r>
        <w:separator/>
      </w:r>
    </w:p>
  </w:endnote>
  <w:endnote w:type="continuationSeparator" w:id="0">
    <w:p w:rsidR="00A17E75" w:rsidRDefault="00A17E75" w:rsidP="007C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749665"/>
      <w:docPartObj>
        <w:docPartGallery w:val="Page Numbers (Bottom of Page)"/>
        <w:docPartUnique/>
      </w:docPartObj>
    </w:sdtPr>
    <w:sdtEndPr>
      <w:rPr>
        <w:noProof/>
      </w:rPr>
    </w:sdtEndPr>
    <w:sdtContent>
      <w:p w:rsidR="00CB717F" w:rsidRDefault="00CB717F" w:rsidP="007C7541">
        <w:pPr>
          <w:pStyle w:val="Footer"/>
          <w:jc w:val="right"/>
        </w:pPr>
        <w:r>
          <w:fldChar w:fldCharType="begin"/>
        </w:r>
        <w:r>
          <w:instrText xml:space="preserve"> PAGE   \* MERGEFORMAT </w:instrText>
        </w:r>
        <w:r>
          <w:fldChar w:fldCharType="separate"/>
        </w:r>
        <w:r w:rsidR="007C754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E75" w:rsidRDefault="00A17E75" w:rsidP="007C7568">
      <w:pPr>
        <w:spacing w:after="0" w:line="240" w:lineRule="auto"/>
      </w:pPr>
      <w:r>
        <w:separator/>
      </w:r>
    </w:p>
  </w:footnote>
  <w:footnote w:type="continuationSeparator" w:id="0">
    <w:p w:rsidR="00A17E75" w:rsidRDefault="00A17E75" w:rsidP="007C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568" w:rsidRPr="008776B6" w:rsidRDefault="007C7568" w:rsidP="007C7568">
    <w:pPr>
      <w:pStyle w:val="Heading1"/>
      <w:spacing w:before="0" w:after="0"/>
      <w:rPr>
        <w:color w:val="auto"/>
      </w:rPr>
    </w:pPr>
    <w:r w:rsidRPr="008776B6">
      <w:rPr>
        <w:color w:val="auto"/>
      </w:rPr>
      <w:t>Office of Juvenile Justice and Delinquency Prevention</w:t>
    </w:r>
  </w:p>
  <w:p w:rsidR="007C7568" w:rsidRPr="00195C88" w:rsidRDefault="007C7568" w:rsidP="007C7568">
    <w:pPr>
      <w:pStyle w:val="Heading1"/>
      <w:spacing w:before="100"/>
      <w:rPr>
        <w:rStyle w:val="instructions1"/>
        <w:rFonts w:cs="Arial"/>
        <w:bCs/>
      </w:rPr>
    </w:pPr>
    <w:r w:rsidRPr="00195C88">
      <w:rPr>
        <w:rStyle w:val="instructions1"/>
        <w:rFonts w:cs="Arial"/>
        <w:bCs/>
      </w:rPr>
      <w:t>Tribal Juvenile Accountability Discretionary Grant Program (T-JADG)</w:t>
    </w:r>
  </w:p>
  <w:p w:rsidR="007C7568" w:rsidRPr="007C7568" w:rsidRDefault="007C7568" w:rsidP="007C7568">
    <w:pPr>
      <w:pStyle w:val="Heading1"/>
      <w:spacing w:after="100"/>
      <w:rPr>
        <w:color w:val="auto"/>
      </w:rPr>
    </w:pPr>
    <w:r w:rsidRPr="00812783">
      <w:rPr>
        <w:color w:val="auto"/>
      </w:rPr>
      <w:t>Gun Courts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599D"/>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E1B03"/>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 w15:restartNumberingAfterBreak="0">
    <w:nsid w:val="128412DE"/>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B1966"/>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37C"/>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2A983BC8"/>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C6EE7"/>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868DF"/>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8" w15:restartNumberingAfterBreak="0">
    <w:nsid w:val="3E1F72B0"/>
    <w:multiLevelType w:val="hybridMultilevel"/>
    <w:tmpl w:val="CAC466CA"/>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BC2E31"/>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0" w15:restartNumberingAfterBreak="0">
    <w:nsid w:val="6B1374F6"/>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761561AE"/>
    <w:multiLevelType w:val="hybridMultilevel"/>
    <w:tmpl w:val="3D9601B8"/>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4"/>
  </w:num>
  <w:num w:numId="4">
    <w:abstractNumId w:val="1"/>
  </w:num>
  <w:num w:numId="5">
    <w:abstractNumId w:val="10"/>
  </w:num>
  <w:num w:numId="6">
    <w:abstractNumId w:val="5"/>
  </w:num>
  <w:num w:numId="7">
    <w:abstractNumId w:val="3"/>
  </w:num>
  <w:num w:numId="8">
    <w:abstractNumId w:val="2"/>
  </w:num>
  <w:num w:numId="9">
    <w:abstractNumId w:val="6"/>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568"/>
    <w:rsid w:val="001B347A"/>
    <w:rsid w:val="003102F2"/>
    <w:rsid w:val="003E1F58"/>
    <w:rsid w:val="00794F3F"/>
    <w:rsid w:val="007C7541"/>
    <w:rsid w:val="007C7568"/>
    <w:rsid w:val="007F62EE"/>
    <w:rsid w:val="00A17E75"/>
    <w:rsid w:val="00CB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200D9-E50D-477F-85C1-879DFEFA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568"/>
  </w:style>
  <w:style w:type="paragraph" w:styleId="Heading1">
    <w:name w:val="heading 1"/>
    <w:basedOn w:val="Normal"/>
    <w:next w:val="BodyText"/>
    <w:link w:val="Heading1Char"/>
    <w:qFormat/>
    <w:rsid w:val="007C7568"/>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68"/>
  </w:style>
  <w:style w:type="paragraph" w:styleId="Footer">
    <w:name w:val="footer"/>
    <w:basedOn w:val="Normal"/>
    <w:link w:val="FooterChar"/>
    <w:uiPriority w:val="99"/>
    <w:unhideWhenUsed/>
    <w:rsid w:val="007C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68"/>
  </w:style>
  <w:style w:type="character" w:customStyle="1" w:styleId="Heading1Char">
    <w:name w:val="Heading 1 Char"/>
    <w:basedOn w:val="DefaultParagraphFont"/>
    <w:link w:val="Heading1"/>
    <w:rsid w:val="007C7568"/>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7C7568"/>
  </w:style>
  <w:style w:type="paragraph" w:styleId="BodyText">
    <w:name w:val="Body Text"/>
    <w:basedOn w:val="Normal"/>
    <w:link w:val="BodyTextChar"/>
    <w:uiPriority w:val="99"/>
    <w:semiHidden/>
    <w:unhideWhenUsed/>
    <w:rsid w:val="007C7568"/>
    <w:pPr>
      <w:spacing w:after="120"/>
    </w:pPr>
  </w:style>
  <w:style w:type="character" w:customStyle="1" w:styleId="BodyTextChar">
    <w:name w:val="Body Text Char"/>
    <w:basedOn w:val="DefaultParagraphFont"/>
    <w:link w:val="BodyText"/>
    <w:uiPriority w:val="99"/>
    <w:semiHidden/>
    <w:rsid w:val="007C7568"/>
  </w:style>
  <w:style w:type="character" w:styleId="Strong">
    <w:name w:val="Strong"/>
    <w:qFormat/>
    <w:rsid w:val="007C7568"/>
    <w:rPr>
      <w:b/>
      <w:bCs/>
    </w:rPr>
  </w:style>
  <w:style w:type="paragraph" w:styleId="ListParagraph">
    <w:name w:val="List Paragraph"/>
    <w:basedOn w:val="Normal"/>
    <w:uiPriority w:val="34"/>
    <w:qFormat/>
    <w:rsid w:val="007C7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2952</Words>
  <Characters>16831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2021-08-11T20:47:00Z</dcterms:created>
  <dcterms:modified xsi:type="dcterms:W3CDTF">2021-08-11T20:47:00Z</dcterms:modified>
</cp:coreProperties>
</file>