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8A" w:rsidRPr="006F678A" w:rsidRDefault="006F678A" w:rsidP="006F678A">
      <w:pPr>
        <w:spacing w:after="0" w:line="240" w:lineRule="auto"/>
        <w:jc w:val="center"/>
        <w:rPr>
          <w:rFonts w:ascii="Arial Narrow" w:hAnsi="Arial Narrow"/>
        </w:rPr>
      </w:pPr>
      <w:bookmarkStart w:id="0" w:name="_GoBack"/>
      <w:bookmarkEnd w:id="0"/>
      <w:r w:rsidRPr="006F678A">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35"/>
        <w:gridCol w:w="1794"/>
        <w:gridCol w:w="3813"/>
        <w:gridCol w:w="3226"/>
        <w:gridCol w:w="1682"/>
      </w:tblGrid>
      <w:tr w:rsidR="006F678A" w:rsidRPr="006F678A" w:rsidTr="009D4BB5">
        <w:trPr>
          <w:cantSplit/>
          <w:tblHeader/>
        </w:trPr>
        <w:tc>
          <w:tcPr>
            <w:tcW w:w="452" w:type="dxa"/>
            <w:tcBorders>
              <w:right w:val="single" w:sz="6" w:space="0" w:color="FFFFFF"/>
            </w:tcBorders>
            <w:shd w:val="clear" w:color="auto" w:fill="003366"/>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w:t>
            </w:r>
          </w:p>
        </w:tc>
        <w:tc>
          <w:tcPr>
            <w:tcW w:w="1861" w:type="dxa"/>
            <w:tcBorders>
              <w:left w:val="single" w:sz="6" w:space="0" w:color="FFFFFF"/>
              <w:right w:val="single" w:sz="6" w:space="0" w:color="FFFFFF" w:themeColor="background1"/>
            </w:tcBorders>
            <w:shd w:val="clear" w:color="auto" w:fill="003366"/>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Output Measure</w:t>
            </w:r>
          </w:p>
        </w:tc>
        <w:tc>
          <w:tcPr>
            <w:tcW w:w="3958" w:type="dxa"/>
            <w:tcBorders>
              <w:left w:val="single" w:sz="6" w:space="0" w:color="FFFFFF" w:themeColor="background1"/>
              <w:right w:val="single" w:sz="6" w:space="0" w:color="FFFFFF"/>
            </w:tcBorders>
            <w:shd w:val="clear" w:color="auto" w:fill="003366"/>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Definition</w:t>
            </w:r>
          </w:p>
        </w:tc>
        <w:tc>
          <w:tcPr>
            <w:tcW w:w="3226" w:type="dxa"/>
            <w:tcBorders>
              <w:left w:val="single" w:sz="6" w:space="0" w:color="FFFFFF"/>
              <w:right w:val="single" w:sz="6" w:space="0" w:color="FFFFFF" w:themeColor="background1"/>
            </w:tcBorders>
            <w:shd w:val="clear" w:color="auto" w:fill="003366"/>
            <w:noWrap/>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Data Grantee Reports</w:t>
            </w:r>
          </w:p>
        </w:tc>
        <w:tc>
          <w:tcPr>
            <w:tcW w:w="1768" w:type="dxa"/>
            <w:tcBorders>
              <w:left w:val="single" w:sz="6" w:space="0" w:color="FFFFFF" w:themeColor="background1"/>
            </w:tcBorders>
            <w:shd w:val="clear" w:color="auto" w:fill="003366"/>
          </w:tcPr>
          <w:p w:rsidR="006F678A" w:rsidRPr="006F678A" w:rsidRDefault="006F678A" w:rsidP="006F678A">
            <w:pPr>
              <w:keepLines/>
              <w:spacing w:after="0" w:line="240" w:lineRule="auto"/>
              <w:jc w:val="center"/>
              <w:rPr>
                <w:rFonts w:ascii="Arial Narrow" w:hAnsi="Arial Narrow" w:cs="Tahoma"/>
                <w:b/>
                <w:bCs/>
                <w:sz w:val="20"/>
                <w:szCs w:val="17"/>
              </w:rPr>
            </w:pPr>
            <w:r w:rsidRPr="006F678A">
              <w:rPr>
                <w:rFonts w:ascii="Arial Narrow" w:hAnsi="Arial Narrow" w:cs="Tahoma"/>
                <w:b/>
                <w:bCs/>
                <w:sz w:val="20"/>
                <w:szCs w:val="17"/>
              </w:rPr>
              <w:t>Record Data Here</w:t>
            </w: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Percent of time per week spent on accountability programming</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Appropriate for schools implementing or developing accountability programming or grantees that work with schools on accountability programming.  Report the average number of hours per week that school staff spends on accountability programming.  Percent is average time spent divided by average number of hours worked per week.  Compute averages by school.  If a grantee is computing for more than one school, report the average across schools.</w:t>
            </w:r>
          </w:p>
        </w:tc>
        <w:tc>
          <w:tcPr>
            <w:tcW w:w="3226" w:type="dxa"/>
          </w:tcPr>
          <w:p w:rsidR="006F678A" w:rsidRPr="006F678A" w:rsidRDefault="006F678A" w:rsidP="006F678A">
            <w:pPr>
              <w:keepLines/>
              <w:numPr>
                <w:ilvl w:val="0"/>
                <w:numId w:val="22"/>
              </w:numPr>
              <w:tabs>
                <w:tab w:val="left" w:pos="344"/>
              </w:tabs>
              <w:spacing w:after="0" w:line="240" w:lineRule="auto"/>
              <w:ind w:left="344"/>
              <w:rPr>
                <w:rFonts w:ascii="Arial Narrow" w:hAnsi="Arial Narrow" w:cs="Tahoma"/>
                <w:b/>
                <w:sz w:val="18"/>
                <w:szCs w:val="17"/>
              </w:rPr>
            </w:pPr>
            <w:r w:rsidRPr="006F678A">
              <w:rPr>
                <w:rFonts w:ascii="Arial Narrow" w:hAnsi="Arial Narrow" w:cs="Tahoma"/>
                <w:sz w:val="18"/>
                <w:szCs w:val="17"/>
              </w:rPr>
              <w:t>Average number of hours per week staff spend on accountability programming</w:t>
            </w:r>
          </w:p>
          <w:p w:rsidR="006F678A" w:rsidRPr="006F678A" w:rsidRDefault="006F678A" w:rsidP="006F678A">
            <w:pPr>
              <w:keepLines/>
              <w:numPr>
                <w:ilvl w:val="0"/>
                <w:numId w:val="22"/>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Average number of hours per week that staff work</w:t>
            </w:r>
          </w:p>
          <w:p w:rsidR="006F678A" w:rsidRPr="006F678A" w:rsidRDefault="006F678A" w:rsidP="006F678A">
            <w:pPr>
              <w:keepLines/>
              <w:numPr>
                <w:ilvl w:val="0"/>
                <w:numId w:val="22"/>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Percent (A/B)</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and percent of school staff trained to implement accountability programming</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Appropriate for schools implementing or developing accountability programming or grantees that work with schools on accountability programming.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 funds.  Percent is the raw number divided by the total number of school staff.</w:t>
            </w:r>
          </w:p>
        </w:tc>
        <w:tc>
          <w:tcPr>
            <w:tcW w:w="3226" w:type="dxa"/>
          </w:tcPr>
          <w:p w:rsidR="006F678A" w:rsidRPr="006F678A" w:rsidRDefault="006F678A" w:rsidP="006F678A">
            <w:pPr>
              <w:keepLines/>
              <w:numPr>
                <w:ilvl w:val="0"/>
                <w:numId w:val="23"/>
              </w:numPr>
              <w:tabs>
                <w:tab w:val="left" w:pos="288"/>
              </w:tabs>
              <w:spacing w:after="0" w:line="240" w:lineRule="auto"/>
              <w:ind w:left="344"/>
              <w:rPr>
                <w:rFonts w:ascii="Arial Narrow" w:hAnsi="Arial Narrow" w:cs="Tahoma"/>
                <w:sz w:val="18"/>
                <w:szCs w:val="17"/>
              </w:rPr>
            </w:pPr>
            <w:r w:rsidRPr="006F678A">
              <w:rPr>
                <w:rFonts w:ascii="Arial Narrow" w:hAnsi="Arial Narrow" w:cs="Tahoma"/>
                <w:sz w:val="18"/>
                <w:szCs w:val="17"/>
              </w:rPr>
              <w:t>Number of staff trained</w:t>
            </w:r>
          </w:p>
          <w:p w:rsidR="006F678A" w:rsidRPr="006F678A" w:rsidRDefault="006F678A" w:rsidP="006F678A">
            <w:pPr>
              <w:keepLines/>
              <w:numPr>
                <w:ilvl w:val="0"/>
                <w:numId w:val="23"/>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staff</w:t>
            </w:r>
          </w:p>
          <w:p w:rsidR="006F678A" w:rsidRPr="006F678A" w:rsidRDefault="006F678A" w:rsidP="006F678A">
            <w:pPr>
              <w:keepLines/>
              <w:numPr>
                <w:ilvl w:val="0"/>
                <w:numId w:val="23"/>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different graduated sanctions options per level (immediate, intermediate, secure care, aftercare)</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Determine coverage of the graduated sanctions approach within the local juvenile justice system or comprehensive programs.  Most appropriate for projects with operational accountability programs.  Report raw number of different sanctioning options by level.  Different implies that the options either employ different techniques or activities, target different populations, or have different goals.</w:t>
            </w:r>
          </w:p>
        </w:tc>
        <w:tc>
          <w:tcPr>
            <w:tcW w:w="3226" w:type="dxa"/>
          </w:tcPr>
          <w:p w:rsidR="006F678A" w:rsidRPr="006F678A" w:rsidRDefault="006F678A" w:rsidP="006F678A">
            <w:pPr>
              <w:keepLines/>
              <w:numPr>
                <w:ilvl w:val="0"/>
                <w:numId w:val="24"/>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immediate sanctioning options</w:t>
            </w:r>
          </w:p>
          <w:p w:rsidR="006F678A" w:rsidRPr="006F678A" w:rsidRDefault="006F678A" w:rsidP="006F678A">
            <w:pPr>
              <w:keepLines/>
              <w:numPr>
                <w:ilvl w:val="0"/>
                <w:numId w:val="24"/>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Number of intermediate sanctioning options</w:t>
            </w:r>
          </w:p>
          <w:p w:rsidR="006F678A" w:rsidRPr="006F678A" w:rsidRDefault="006F678A" w:rsidP="006F678A">
            <w:pPr>
              <w:keepLines/>
              <w:numPr>
                <w:ilvl w:val="0"/>
                <w:numId w:val="24"/>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Number of secure care sanctioning options</w:t>
            </w:r>
          </w:p>
          <w:p w:rsidR="006F678A" w:rsidRPr="006F678A" w:rsidRDefault="006F678A" w:rsidP="006F678A">
            <w:pPr>
              <w:keepLines/>
              <w:numPr>
                <w:ilvl w:val="0"/>
                <w:numId w:val="24"/>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Number of aftercare/reentry sanctioning options</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different accountability programs operating</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program implementation.  Appropriate for grantees that have operational accountability programs.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w:t>
            </w:r>
          </w:p>
        </w:tc>
        <w:tc>
          <w:tcPr>
            <w:tcW w:w="3226" w:type="dxa"/>
          </w:tcPr>
          <w:p w:rsidR="006F678A" w:rsidRPr="006F678A" w:rsidRDefault="006F678A" w:rsidP="006F678A">
            <w:pPr>
              <w:keepLines/>
              <w:numPr>
                <w:ilvl w:val="0"/>
                <w:numId w:val="25"/>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different accountability programs operating</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graduated sanctions slots per level (immediate, intermediate, secure care, aftercare)</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Appropriate for grantees with operational accountability programs.  Report the number of youth that the program(s) can serve simultaneously at each sanction level.</w:t>
            </w:r>
          </w:p>
        </w:tc>
        <w:tc>
          <w:tcPr>
            <w:tcW w:w="3226" w:type="dxa"/>
          </w:tcPr>
          <w:p w:rsidR="006F678A" w:rsidRPr="006F678A" w:rsidRDefault="006F678A" w:rsidP="006F678A">
            <w:pPr>
              <w:keepLines/>
              <w:numPr>
                <w:ilvl w:val="0"/>
                <w:numId w:val="26"/>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immediate sanction slots</w:t>
            </w:r>
          </w:p>
          <w:p w:rsidR="006F678A" w:rsidRPr="006F678A" w:rsidRDefault="006F678A" w:rsidP="006F678A">
            <w:pPr>
              <w:keepLines/>
              <w:numPr>
                <w:ilvl w:val="0"/>
                <w:numId w:val="26"/>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intermediate sanction slots</w:t>
            </w:r>
          </w:p>
          <w:p w:rsidR="006F678A" w:rsidRPr="006F678A" w:rsidRDefault="006F678A" w:rsidP="006F678A">
            <w:pPr>
              <w:keepLines/>
              <w:numPr>
                <w:ilvl w:val="0"/>
                <w:numId w:val="26"/>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secure care sanction slots</w:t>
            </w:r>
          </w:p>
          <w:p w:rsidR="006F678A" w:rsidRPr="006F678A" w:rsidRDefault="006F678A" w:rsidP="006F678A">
            <w:pPr>
              <w:keepLines/>
              <w:numPr>
                <w:ilvl w:val="0"/>
                <w:numId w:val="26"/>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aftercare/reentry sanction slots</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training requests RECEIVED</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training requests received during the reporting period. Requests can come from individuals or organizations served.</w:t>
            </w:r>
          </w:p>
        </w:tc>
        <w:tc>
          <w:tcPr>
            <w:tcW w:w="3226" w:type="dxa"/>
          </w:tcPr>
          <w:p w:rsidR="006F678A" w:rsidRPr="006F678A" w:rsidRDefault="006F678A" w:rsidP="006F678A">
            <w:pPr>
              <w:keepLines/>
              <w:numPr>
                <w:ilvl w:val="0"/>
                <w:numId w:val="27"/>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training requests received during the reporting period.</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technical assistance requests RECEIVED</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226" w:type="dxa"/>
          </w:tcPr>
          <w:p w:rsidR="006F678A" w:rsidRPr="006F678A" w:rsidRDefault="006F678A" w:rsidP="006F678A">
            <w:pPr>
              <w:keepLines/>
              <w:numPr>
                <w:ilvl w:val="0"/>
                <w:numId w:val="17"/>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technical assistance requests received during the reporting period</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spacing w:after="0" w:line="240" w:lineRule="auto"/>
              <w:rPr>
                <w:rFonts w:ascii="Arial Narrow" w:hAnsi="Arial Narrow" w:cs="Tahoma"/>
                <w:sz w:val="18"/>
                <w:szCs w:val="17"/>
              </w:rPr>
            </w:pPr>
            <w:r w:rsidRPr="006F678A">
              <w:rPr>
                <w:rFonts w:ascii="Arial Narrow" w:hAnsi="Arial Narrow" w:cs="Tahoma"/>
                <w:sz w:val="18"/>
                <w:szCs w:val="17"/>
              </w:rPr>
              <w:t>Number of program materials developed during the reporting period</w:t>
            </w:r>
          </w:p>
        </w:tc>
        <w:tc>
          <w:tcPr>
            <w:tcW w:w="3958" w:type="dxa"/>
          </w:tcPr>
          <w:p w:rsidR="006F678A" w:rsidRPr="006F678A" w:rsidRDefault="006F678A" w:rsidP="006F678A">
            <w:pPr>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226" w:type="dxa"/>
          </w:tcPr>
          <w:p w:rsidR="006F678A" w:rsidRPr="006F678A" w:rsidRDefault="006F678A" w:rsidP="006F678A">
            <w:pPr>
              <w:keepLines/>
              <w:numPr>
                <w:ilvl w:val="0"/>
                <w:numId w:val="18"/>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program materials developed</w:t>
            </w:r>
          </w:p>
        </w:tc>
        <w:tc>
          <w:tcPr>
            <w:tcW w:w="1768" w:type="dxa"/>
          </w:tcPr>
          <w:p w:rsidR="006F678A" w:rsidRPr="006F678A" w:rsidRDefault="006F678A" w:rsidP="006F678A">
            <w:pPr>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planning or training events held during the reporting period</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226" w:type="dxa"/>
          </w:tcPr>
          <w:p w:rsidR="006F678A" w:rsidRPr="006F678A" w:rsidRDefault="006F678A" w:rsidP="006F678A">
            <w:pPr>
              <w:keepLines/>
              <w:numPr>
                <w:ilvl w:val="0"/>
                <w:numId w:val="19"/>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planning or training activities held during the reporting period</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people trained during the reporting period</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226" w:type="dxa"/>
          </w:tcPr>
          <w:p w:rsidR="006F678A" w:rsidRPr="006F678A" w:rsidRDefault="006F678A" w:rsidP="006F678A">
            <w:pPr>
              <w:keepLines/>
              <w:numPr>
                <w:ilvl w:val="0"/>
                <w:numId w:val="20"/>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people trained</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2"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1861"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958"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226" w:type="dxa"/>
          </w:tcPr>
          <w:p w:rsidR="006F678A" w:rsidRPr="006F678A" w:rsidRDefault="006F678A" w:rsidP="006F678A">
            <w:pPr>
              <w:keepLines/>
              <w:numPr>
                <w:ilvl w:val="0"/>
                <w:numId w:val="21"/>
              </w:numPr>
              <w:tabs>
                <w:tab w:val="left" w:pos="344"/>
              </w:tabs>
              <w:spacing w:after="0" w:line="240" w:lineRule="auto"/>
              <w:ind w:left="344"/>
              <w:rPr>
                <w:rFonts w:ascii="Arial Narrow" w:hAnsi="Arial Narrow" w:cs="Tahoma"/>
                <w:sz w:val="18"/>
                <w:szCs w:val="17"/>
              </w:rPr>
            </w:pPr>
            <w:r w:rsidRPr="006F678A">
              <w:rPr>
                <w:rFonts w:ascii="Arial Narrow" w:hAnsi="Arial Narrow" w:cs="Tahoma"/>
                <w:sz w:val="18"/>
                <w:szCs w:val="17"/>
              </w:rPr>
              <w:t>Number of programs served by TTA that reported using an evidence-based program and / or practice.</w:t>
            </w:r>
          </w:p>
          <w:p w:rsidR="006F678A" w:rsidRPr="006F678A" w:rsidRDefault="006F678A" w:rsidP="006F678A">
            <w:pPr>
              <w:keepLines/>
              <w:numPr>
                <w:ilvl w:val="0"/>
                <w:numId w:val="21"/>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Number of programs served by TTA</w:t>
            </w:r>
          </w:p>
          <w:p w:rsidR="006F678A" w:rsidRPr="006F678A" w:rsidRDefault="006F678A" w:rsidP="006F678A">
            <w:pPr>
              <w:keepLines/>
              <w:numPr>
                <w:ilvl w:val="0"/>
                <w:numId w:val="21"/>
              </w:numPr>
              <w:tabs>
                <w:tab w:val="left" w:pos="344"/>
              </w:tabs>
              <w:spacing w:after="0" w:line="240" w:lineRule="auto"/>
              <w:ind w:left="344" w:hanging="344"/>
              <w:rPr>
                <w:rFonts w:ascii="Arial Narrow" w:hAnsi="Arial Narrow" w:cs="Tahoma"/>
                <w:sz w:val="18"/>
                <w:szCs w:val="17"/>
              </w:rPr>
            </w:pPr>
            <w:r w:rsidRPr="006F678A">
              <w:rPr>
                <w:rFonts w:ascii="Arial Narrow" w:hAnsi="Arial Narrow" w:cs="Tahoma"/>
                <w:sz w:val="18"/>
                <w:szCs w:val="17"/>
              </w:rPr>
              <w:t>Percent of programs served by TTA that report using an evidence-based program and / or practice (A/B)</w:t>
            </w:r>
          </w:p>
        </w:tc>
        <w:tc>
          <w:tcPr>
            <w:tcW w:w="1768" w:type="dxa"/>
          </w:tcPr>
          <w:p w:rsidR="006F678A" w:rsidRPr="006F678A" w:rsidRDefault="006F678A" w:rsidP="006F678A">
            <w:pPr>
              <w:keepLines/>
              <w:spacing w:after="0" w:line="240" w:lineRule="auto"/>
              <w:ind w:left="720"/>
              <w:rPr>
                <w:rFonts w:ascii="Arial Narrow" w:hAnsi="Arial Narrow" w:cs="Tahoma"/>
                <w:sz w:val="18"/>
                <w:szCs w:val="17"/>
              </w:rPr>
            </w:pPr>
          </w:p>
        </w:tc>
      </w:tr>
    </w:tbl>
    <w:p w:rsidR="006F678A" w:rsidRPr="006F678A" w:rsidRDefault="006F678A" w:rsidP="006F678A">
      <w:pPr>
        <w:spacing w:after="0" w:line="240" w:lineRule="auto"/>
        <w:rPr>
          <w:rFonts w:ascii="Arial Narrow" w:hAnsi="Arial Narrow"/>
        </w:rPr>
      </w:pPr>
    </w:p>
    <w:p w:rsidR="006F678A" w:rsidRPr="006F678A" w:rsidRDefault="006F678A" w:rsidP="006F678A">
      <w:pPr>
        <w:keepNext/>
        <w:spacing w:after="0" w:line="240" w:lineRule="auto"/>
        <w:ind w:left="576"/>
        <w:outlineLvl w:val="1"/>
        <w:rPr>
          <w:rFonts w:ascii="Arial Narrow" w:eastAsia="Times New Roman" w:hAnsi="Arial Narrow" w:cs="Times New Roman"/>
          <w:b/>
          <w:sz w:val="24"/>
          <w:szCs w:val="20"/>
        </w:rPr>
        <w:sectPr w:rsidR="006F678A" w:rsidRPr="006F678A" w:rsidSect="004D7F3D">
          <w:headerReference w:type="default" r:id="rId7"/>
          <w:footerReference w:type="default" r:id="rId8"/>
          <w:pgSz w:w="12240" w:h="15840"/>
          <w:pgMar w:top="720" w:right="720" w:bottom="720" w:left="720" w:header="576" w:footer="576" w:gutter="0"/>
          <w:cols w:space="720"/>
          <w:docGrid w:linePitch="360"/>
        </w:sectPr>
      </w:pPr>
      <w:r w:rsidRPr="006F678A">
        <w:rPr>
          <w:rFonts w:ascii="Arial Narrow" w:eastAsia="Times New Roman" w:hAnsi="Arial Narrow" w:cs="Times New Roman"/>
          <w:b/>
          <w:sz w:val="24"/>
          <w:szCs w:val="20"/>
        </w:rPr>
        <w:t xml:space="preserve"> </w:t>
      </w:r>
    </w:p>
    <w:p w:rsidR="006F678A" w:rsidRPr="006F678A" w:rsidRDefault="006F678A" w:rsidP="006F678A">
      <w:pPr>
        <w:spacing w:after="0" w:line="240" w:lineRule="auto"/>
        <w:jc w:val="center"/>
        <w:rPr>
          <w:rFonts w:ascii="Arial Narrow" w:hAnsi="Arial Narrow"/>
        </w:rPr>
      </w:pPr>
      <w:r w:rsidRPr="006F678A">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41"/>
        <w:gridCol w:w="2026"/>
        <w:gridCol w:w="3630"/>
        <w:gridCol w:w="3230"/>
        <w:gridCol w:w="1623"/>
      </w:tblGrid>
      <w:tr w:rsidR="006F678A" w:rsidRPr="006F678A" w:rsidTr="009D4BB5">
        <w:trPr>
          <w:cantSplit/>
          <w:tblHeader/>
        </w:trPr>
        <w:tc>
          <w:tcPr>
            <w:tcW w:w="457" w:type="dxa"/>
            <w:tcBorders>
              <w:right w:val="single" w:sz="6" w:space="0" w:color="FFFFFF"/>
            </w:tcBorders>
            <w:shd w:val="clear" w:color="auto" w:fill="003366"/>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w:t>
            </w:r>
          </w:p>
        </w:tc>
        <w:tc>
          <w:tcPr>
            <w:tcW w:w="2070" w:type="dxa"/>
            <w:tcBorders>
              <w:left w:val="single" w:sz="6" w:space="0" w:color="FFFFFF"/>
              <w:right w:val="single" w:sz="6" w:space="0" w:color="FFFFFF" w:themeColor="background1"/>
            </w:tcBorders>
            <w:shd w:val="clear" w:color="auto" w:fill="003366"/>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Outcome Measure</w:t>
            </w:r>
          </w:p>
        </w:tc>
        <w:tc>
          <w:tcPr>
            <w:tcW w:w="3812" w:type="dxa"/>
            <w:tcBorders>
              <w:left w:val="single" w:sz="6" w:space="0" w:color="FFFFFF" w:themeColor="background1"/>
              <w:right w:val="single" w:sz="6" w:space="0" w:color="FFFFFF"/>
            </w:tcBorders>
            <w:shd w:val="clear" w:color="auto" w:fill="003366"/>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Definition</w:t>
            </w:r>
          </w:p>
        </w:tc>
        <w:tc>
          <w:tcPr>
            <w:tcW w:w="3230" w:type="dxa"/>
            <w:tcBorders>
              <w:left w:val="single" w:sz="6" w:space="0" w:color="FFFFFF"/>
              <w:right w:val="single" w:sz="6" w:space="0" w:color="FFFFFF" w:themeColor="background1"/>
            </w:tcBorders>
            <w:shd w:val="clear" w:color="auto" w:fill="003366"/>
            <w:noWrap/>
            <w:vAlign w:val="center"/>
          </w:tcPr>
          <w:p w:rsidR="006F678A" w:rsidRPr="006F678A" w:rsidRDefault="006F678A" w:rsidP="006F678A">
            <w:pPr>
              <w:keepLines/>
              <w:spacing w:after="0" w:line="240" w:lineRule="auto"/>
              <w:jc w:val="center"/>
              <w:rPr>
                <w:rFonts w:ascii="Arial Narrow" w:hAnsi="Arial Narrow" w:cs="Tahoma"/>
                <w:sz w:val="20"/>
                <w:szCs w:val="17"/>
              </w:rPr>
            </w:pPr>
            <w:r w:rsidRPr="006F678A">
              <w:rPr>
                <w:rFonts w:ascii="Arial Narrow" w:hAnsi="Arial Narrow" w:cs="Tahoma"/>
                <w:b/>
                <w:bCs/>
                <w:sz w:val="20"/>
                <w:szCs w:val="17"/>
              </w:rPr>
              <w:t>Data Grantee Reports</w:t>
            </w:r>
          </w:p>
        </w:tc>
        <w:tc>
          <w:tcPr>
            <w:tcW w:w="1696" w:type="dxa"/>
            <w:tcBorders>
              <w:left w:val="single" w:sz="6" w:space="0" w:color="FFFFFF" w:themeColor="background1"/>
            </w:tcBorders>
            <w:shd w:val="clear" w:color="auto" w:fill="003366"/>
          </w:tcPr>
          <w:p w:rsidR="006F678A" w:rsidRPr="006F678A" w:rsidRDefault="006F678A" w:rsidP="006F678A">
            <w:pPr>
              <w:keepLines/>
              <w:spacing w:after="0" w:line="240" w:lineRule="auto"/>
              <w:jc w:val="center"/>
              <w:rPr>
                <w:rFonts w:ascii="Arial Narrow" w:hAnsi="Arial Narrow" w:cs="Tahoma"/>
                <w:b/>
                <w:bCs/>
                <w:sz w:val="20"/>
                <w:szCs w:val="17"/>
              </w:rPr>
            </w:pPr>
            <w:r w:rsidRPr="006F678A">
              <w:rPr>
                <w:rFonts w:ascii="Arial Narrow" w:hAnsi="Arial Narrow" w:cs="Tahoma"/>
                <w:b/>
                <w:bCs/>
                <w:sz w:val="20"/>
                <w:szCs w:val="17"/>
              </w:rPr>
              <w:t>Record Data Here</w:t>
            </w:r>
          </w:p>
        </w:tc>
      </w:tr>
      <w:tr w:rsidR="006F678A" w:rsidRPr="006F678A" w:rsidTr="009D4BB5">
        <w:trPr>
          <w:cantSplit/>
        </w:trPr>
        <w:tc>
          <w:tcPr>
            <w:tcW w:w="457"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program policies changed, improved, or rescinded during the reporting period</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230" w:type="dxa"/>
          </w:tcPr>
          <w:p w:rsidR="006F678A" w:rsidRPr="006F678A" w:rsidRDefault="006F678A" w:rsidP="006F678A">
            <w:pPr>
              <w:keepLines/>
              <w:numPr>
                <w:ilvl w:val="0"/>
                <w:numId w:val="14"/>
              </w:numPr>
              <w:tabs>
                <w:tab w:val="left" w:pos="290"/>
              </w:tabs>
              <w:spacing w:after="0" w:line="240" w:lineRule="auto"/>
              <w:ind w:left="290" w:hanging="270"/>
              <w:rPr>
                <w:rFonts w:ascii="Arial Narrow" w:hAnsi="Arial Narrow" w:cs="Tahoma"/>
                <w:sz w:val="18"/>
                <w:szCs w:val="17"/>
              </w:rPr>
            </w:pPr>
            <w:r w:rsidRPr="006F678A">
              <w:rPr>
                <w:rFonts w:ascii="Arial Narrow" w:hAnsi="Arial Narrow" w:cs="Tahoma"/>
                <w:sz w:val="18"/>
                <w:szCs w:val="17"/>
              </w:rPr>
              <w:t xml:space="preserve">Number of programs policies changed during the reporting period </w:t>
            </w:r>
          </w:p>
          <w:p w:rsidR="006F678A" w:rsidRPr="006F678A" w:rsidRDefault="006F678A" w:rsidP="006F678A">
            <w:pPr>
              <w:keepLines/>
              <w:numPr>
                <w:ilvl w:val="0"/>
                <w:numId w:val="14"/>
              </w:numPr>
              <w:tabs>
                <w:tab w:val="left" w:pos="1280"/>
              </w:tabs>
              <w:spacing w:after="0" w:line="240" w:lineRule="auto"/>
              <w:ind w:left="290" w:hanging="290"/>
              <w:rPr>
                <w:rFonts w:ascii="Arial Narrow" w:hAnsi="Arial Narrow" w:cs="Tahoma"/>
                <w:sz w:val="18"/>
                <w:szCs w:val="17"/>
              </w:rPr>
            </w:pPr>
            <w:r w:rsidRPr="006F678A">
              <w:rPr>
                <w:rFonts w:ascii="Arial Narrow" w:hAnsi="Arial Narrow" w:cs="Tahoma"/>
                <w:sz w:val="18"/>
                <w:szCs w:val="17"/>
              </w:rPr>
              <w:t>Number of programs policies rescinded during the reporting period</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keepLines/>
              <w:numPr>
                <w:ilvl w:val="0"/>
                <w:numId w:val="28"/>
              </w:numPr>
              <w:spacing w:after="0" w:line="240" w:lineRule="auto"/>
              <w:jc w:val="center"/>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Percent of people exhibiting an increased knowledge of the program area during the reporting period</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230" w:type="dxa"/>
          </w:tcPr>
          <w:p w:rsidR="006F678A" w:rsidRPr="006F678A" w:rsidRDefault="006F678A" w:rsidP="006F678A">
            <w:pPr>
              <w:keepLines/>
              <w:numPr>
                <w:ilvl w:val="0"/>
                <w:numId w:val="15"/>
              </w:numPr>
              <w:tabs>
                <w:tab w:val="left" w:pos="288"/>
              </w:tabs>
              <w:spacing w:after="0" w:line="240" w:lineRule="auto"/>
              <w:ind w:left="290" w:hanging="270"/>
              <w:rPr>
                <w:rFonts w:ascii="Arial Narrow" w:hAnsi="Arial Narrow" w:cs="Tahoma"/>
                <w:sz w:val="18"/>
                <w:szCs w:val="17"/>
              </w:rPr>
            </w:pPr>
            <w:r w:rsidRPr="006F678A">
              <w:rPr>
                <w:rFonts w:ascii="Arial Narrow" w:hAnsi="Arial Narrow" w:cs="Tahoma"/>
                <w:sz w:val="18"/>
                <w:szCs w:val="17"/>
              </w:rPr>
              <w:t>Number of people exhibiting an increase in knowledge post-training.</w:t>
            </w:r>
          </w:p>
          <w:p w:rsidR="006F678A" w:rsidRPr="006F678A" w:rsidRDefault="006F678A" w:rsidP="006F678A">
            <w:pPr>
              <w:keepLines/>
              <w:numPr>
                <w:ilvl w:val="0"/>
                <w:numId w:val="15"/>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people trained during the reporting period.</w:t>
            </w:r>
          </w:p>
          <w:p w:rsidR="006F678A" w:rsidRPr="006F678A" w:rsidRDefault="006F678A" w:rsidP="006F678A">
            <w:pPr>
              <w:keepLines/>
              <w:numPr>
                <w:ilvl w:val="0"/>
                <w:numId w:val="15"/>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of people trained who exhibited increased knowledge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Percent of organizations reporting improvements in operations based on training and technical assistance (TTA).</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The number and percent of organizations reporting improvements in operations as a result of TTA one to six months post-service</w:t>
            </w:r>
          </w:p>
        </w:tc>
        <w:tc>
          <w:tcPr>
            <w:tcW w:w="3230" w:type="dxa"/>
          </w:tcPr>
          <w:p w:rsidR="006F678A" w:rsidRPr="006F678A" w:rsidRDefault="006F678A" w:rsidP="006F678A">
            <w:pPr>
              <w:keepLines/>
              <w:numPr>
                <w:ilvl w:val="0"/>
                <w:numId w:val="16"/>
              </w:numPr>
              <w:tabs>
                <w:tab w:val="left" w:pos="288"/>
              </w:tabs>
              <w:spacing w:after="0" w:line="240" w:lineRule="auto"/>
              <w:ind w:left="290" w:hanging="270"/>
              <w:rPr>
                <w:rFonts w:ascii="Arial Narrow" w:hAnsi="Arial Narrow" w:cs="Tahoma"/>
                <w:sz w:val="18"/>
                <w:szCs w:val="17"/>
              </w:rPr>
            </w:pPr>
            <w:r w:rsidRPr="006F678A">
              <w:rPr>
                <w:rFonts w:ascii="Arial Narrow" w:hAnsi="Arial Narrow" w:cs="Tahoma"/>
                <w:sz w:val="18"/>
                <w:szCs w:val="17"/>
              </w:rPr>
              <w:t>The number of organizations reporting improvements in operations as a result of TTA one to six months post-service</w:t>
            </w:r>
          </w:p>
          <w:p w:rsidR="006F678A" w:rsidRPr="006F678A" w:rsidRDefault="006F678A" w:rsidP="006F678A">
            <w:pPr>
              <w:keepLines/>
              <w:numPr>
                <w:ilvl w:val="0"/>
                <w:numId w:val="16"/>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The total number of organizations served by TTA during the reporting period</w:t>
            </w:r>
          </w:p>
          <w:p w:rsidR="006F678A" w:rsidRPr="006F678A" w:rsidRDefault="006F678A" w:rsidP="006F678A">
            <w:pPr>
              <w:keepLines/>
              <w:numPr>
                <w:ilvl w:val="0"/>
                <w:numId w:val="16"/>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of organizations reporting improvements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and percent of staff participating in accountability programs</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based on the idea that programs require full staffing to work appropriately and a larger percent of staff involvement implies more institutionalization.  Report the raw number of school staff working on, participating in, or contributing to accountability programming.  Percent is the raw number divided by the total number of school staff.</w:t>
            </w:r>
          </w:p>
        </w:tc>
        <w:tc>
          <w:tcPr>
            <w:tcW w:w="3230" w:type="dxa"/>
          </w:tcPr>
          <w:p w:rsidR="006F678A" w:rsidRPr="006F678A" w:rsidRDefault="006F678A" w:rsidP="006F678A">
            <w:pPr>
              <w:keepLines/>
              <w:numPr>
                <w:ilvl w:val="0"/>
                <w:numId w:val="1"/>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staff participating in accountability programming</w:t>
            </w:r>
          </w:p>
          <w:p w:rsidR="006F678A" w:rsidRPr="006F678A" w:rsidRDefault="006F678A" w:rsidP="006F678A">
            <w:pPr>
              <w:keepLines/>
              <w:numPr>
                <w:ilvl w:val="0"/>
                <w:numId w:val="1"/>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staff</w:t>
            </w:r>
          </w:p>
          <w:p w:rsidR="006F678A" w:rsidRPr="006F678A" w:rsidRDefault="006F678A" w:rsidP="006F678A">
            <w:pPr>
              <w:keepLines/>
              <w:numPr>
                <w:ilvl w:val="0"/>
                <w:numId w:val="1"/>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school-community partnerships</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based on the idea that program success depends on providing coordinated services.  Appropriate for most grantees under this purpose area.  Report the raw number of community agencies or groups with which the school (or school district) has a formal partnership agreement.  Such agreements can take the form of memorandums of understanding, formal procedures for referrals between the agency and the school, or any other document that outlines how the community agency will work with the school.</w:t>
            </w:r>
          </w:p>
        </w:tc>
        <w:tc>
          <w:tcPr>
            <w:tcW w:w="3230" w:type="dxa"/>
          </w:tcPr>
          <w:p w:rsidR="006F678A" w:rsidRPr="006F678A" w:rsidRDefault="006F678A" w:rsidP="006F678A">
            <w:pPr>
              <w:keepLines/>
              <w:numPr>
                <w:ilvl w:val="0"/>
                <w:numId w:val="2"/>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community partner agencies</w:t>
            </w:r>
          </w:p>
          <w:p w:rsidR="006F678A" w:rsidRPr="006F678A" w:rsidRDefault="006F678A" w:rsidP="006F678A">
            <w:pPr>
              <w:keepLines/>
              <w:tabs>
                <w:tab w:val="left" w:pos="288"/>
              </w:tabs>
              <w:spacing w:after="0" w:line="240" w:lineRule="auto"/>
              <w:ind w:left="288" w:hanging="288"/>
              <w:rPr>
                <w:rFonts w:ascii="Arial Narrow" w:hAnsi="Arial Narrow" w:cs="Tahoma"/>
                <w:sz w:val="18"/>
                <w:szCs w:val="17"/>
              </w:rPr>
            </w:pP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school-justice partnerships</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based on the idea that program success depends on providing coordinated services.  Appropriate for most grantees under this purpose area.  Report the raw number of justice agencies (e.g., probation departments, police departments, community policing units, day reporting centers) with which the school (or school district) has a formal partnership agreement.  Such agreements can take the form of memorandums of understanding, formal procedures for referrals between the agency and the school, or any other document that outlines how the justice agency will work with the school.</w:t>
            </w:r>
          </w:p>
        </w:tc>
        <w:tc>
          <w:tcPr>
            <w:tcW w:w="3230" w:type="dxa"/>
          </w:tcPr>
          <w:p w:rsidR="006F678A" w:rsidRPr="006F678A" w:rsidRDefault="006F678A" w:rsidP="006F678A">
            <w:pPr>
              <w:keepLines/>
              <w:numPr>
                <w:ilvl w:val="0"/>
                <w:numId w:val="3"/>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justice partner agencies</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Height w:val="2682"/>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different school safety programming options in place</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 xml:space="preserve">Determine coverage of the school safety approach.  Most appropriate for schools, school districts, county, village, ranchero, pueblo or reservation offices that work with schools/education issues.  Report raw number of different school safety programs in operation.  Different implies that the options either employ different techniques or activities, target different populations, or have different goals.  </w:t>
            </w:r>
          </w:p>
        </w:tc>
        <w:tc>
          <w:tcPr>
            <w:tcW w:w="3230" w:type="dxa"/>
          </w:tcPr>
          <w:p w:rsidR="006F678A" w:rsidRPr="006F678A" w:rsidRDefault="006F678A" w:rsidP="006F678A">
            <w:pPr>
              <w:keepLines/>
              <w:numPr>
                <w:ilvl w:val="0"/>
                <w:numId w:val="4"/>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different school safety programs in operation</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and percent of youth to receive a sanctions schedule at school orientation</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To help determine whether accountability programming is being implemented as intended with the distribution of the sanctions schedule at school orientation.  This measures system accountability.  Appropriate for schools, school districts, county, village, ranchero, pueblo or reservation departments that oversee schools/education.  Report raw number of youth that received a sanctions schedule at school orientation.  If there is no formal orientation, use the start of classes as the time point.  Percent is calculated by dividing the number of youth to receive a sanctions schedule at orientation by the number of youth to enter the school(s).</w:t>
            </w:r>
          </w:p>
        </w:tc>
        <w:tc>
          <w:tcPr>
            <w:tcW w:w="3230" w:type="dxa"/>
          </w:tcPr>
          <w:p w:rsidR="006F678A" w:rsidRPr="006F678A" w:rsidRDefault="006F678A" w:rsidP="006F678A">
            <w:pPr>
              <w:keepLines/>
              <w:numPr>
                <w:ilvl w:val="0"/>
                <w:numId w:val="5"/>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youth to receive a sanctions schedule at orientation</w:t>
            </w:r>
          </w:p>
          <w:p w:rsidR="006F678A" w:rsidRPr="006F678A" w:rsidRDefault="006F678A" w:rsidP="006F678A">
            <w:pPr>
              <w:keepLines/>
              <w:numPr>
                <w:ilvl w:val="0"/>
                <w:numId w:val="5"/>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youth served/enrolled</w:t>
            </w:r>
          </w:p>
          <w:p w:rsidR="006F678A" w:rsidRPr="006F678A" w:rsidRDefault="006F678A" w:rsidP="006F678A">
            <w:pPr>
              <w:keepLines/>
              <w:numPr>
                <w:ilvl w:val="0"/>
                <w:numId w:val="5"/>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Average time in hours from infraction to sanction</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230" w:type="dxa"/>
          </w:tcPr>
          <w:p w:rsidR="006F678A" w:rsidRPr="006F678A" w:rsidRDefault="006F678A" w:rsidP="006F678A">
            <w:pPr>
              <w:keepLines/>
              <w:numPr>
                <w:ilvl w:val="0"/>
                <w:numId w:val="6"/>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Average number of hours from infraction to sanction</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and percent of misconduct events handled using accountability sanctions/guidelines</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accountability.  Appropriate for grantees with operational accountability programs.  Report the raw number of infractions to result in the prescribed sanctions (the type of sanction, the timing of the sanction, etc.).  Percent is the raw number divided by the total number of infractions.</w:t>
            </w:r>
          </w:p>
        </w:tc>
        <w:tc>
          <w:tcPr>
            <w:tcW w:w="3230" w:type="dxa"/>
          </w:tcPr>
          <w:p w:rsidR="006F678A" w:rsidRPr="006F678A" w:rsidRDefault="006F678A" w:rsidP="006F678A">
            <w:pPr>
              <w:keepLines/>
              <w:numPr>
                <w:ilvl w:val="0"/>
                <w:numId w:val="7"/>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infractions to result in prescribed sanction</w:t>
            </w:r>
          </w:p>
          <w:p w:rsidR="006F678A" w:rsidRPr="006F678A" w:rsidRDefault="006F678A" w:rsidP="006F678A">
            <w:pPr>
              <w:keepLines/>
              <w:numPr>
                <w:ilvl w:val="0"/>
                <w:numId w:val="7"/>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infractions</w:t>
            </w:r>
          </w:p>
          <w:p w:rsidR="006F678A" w:rsidRPr="006F678A" w:rsidRDefault="006F678A" w:rsidP="006F678A">
            <w:pPr>
              <w:keepLines/>
              <w:numPr>
                <w:ilvl w:val="0"/>
                <w:numId w:val="7"/>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target youth referred to the justice system</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youth accountability.  Appropriate for grantees with operational accountability programs.  Report the raw number of youth who are receiving or participating in accountability programming (including those bound by accountability sanctions schedules even if they are receiving no direct services) to be referred to the justice system from the school.  Percent is the raw number divided by the total number of youth who are receiving or participating in accountability programming (including those bound by accountability sanctions schedules even if they are receiving no direct services).</w:t>
            </w:r>
          </w:p>
        </w:tc>
        <w:tc>
          <w:tcPr>
            <w:tcW w:w="3230" w:type="dxa"/>
          </w:tcPr>
          <w:p w:rsidR="006F678A" w:rsidRPr="006F678A" w:rsidRDefault="006F678A" w:rsidP="006F678A">
            <w:pPr>
              <w:keepLines/>
              <w:numPr>
                <w:ilvl w:val="0"/>
                <w:numId w:val="8"/>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youth referred from the school to the justice system</w:t>
            </w:r>
          </w:p>
          <w:p w:rsidR="006F678A" w:rsidRPr="006F678A" w:rsidRDefault="006F678A" w:rsidP="006F678A">
            <w:pPr>
              <w:keepLines/>
              <w:numPr>
                <w:ilvl w:val="0"/>
                <w:numId w:val="8"/>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youth participants in accountability programs</w:t>
            </w:r>
          </w:p>
          <w:p w:rsidR="006F678A" w:rsidRPr="006F678A" w:rsidRDefault="006F678A" w:rsidP="006F678A">
            <w:pPr>
              <w:keepLines/>
              <w:numPr>
                <w:ilvl w:val="0"/>
                <w:numId w:val="8"/>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formal incident reports</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youth accountability based on the idea that incident reports partially represent youth misbehavior.  Appropriate for programs that serve youth.  Report the number of incident reports made to the school.  Include reports to the school administration about accidents, fights, non-attendance at class, or other forms of misbehaviors.  Also, include any other formal notations about misbehaviors such as warnings issued or notices to parents.</w:t>
            </w:r>
          </w:p>
        </w:tc>
        <w:tc>
          <w:tcPr>
            <w:tcW w:w="3230" w:type="dxa"/>
          </w:tcPr>
          <w:p w:rsidR="006F678A" w:rsidRPr="006F678A" w:rsidRDefault="006F678A" w:rsidP="006F678A">
            <w:pPr>
              <w:keepLines/>
              <w:numPr>
                <w:ilvl w:val="0"/>
                <w:numId w:val="9"/>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formal incident reports</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crimes reported to the police</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youth accountability based on the idea that crime reports partially represent youth misbehavior.  Appropriate for programs that serve youth.  Report the number of crimes reported to police that involves crime affecting school personnel, school property, or students.  For reports of crime against people, include events that occur on school property, involve students (or recent students) as perpetrators, or are otherwise related to the school.</w:t>
            </w:r>
          </w:p>
        </w:tc>
        <w:tc>
          <w:tcPr>
            <w:tcW w:w="3230" w:type="dxa"/>
          </w:tcPr>
          <w:p w:rsidR="006F678A" w:rsidRPr="006F678A" w:rsidRDefault="006F678A" w:rsidP="006F678A">
            <w:pPr>
              <w:keepLines/>
              <w:numPr>
                <w:ilvl w:val="0"/>
                <w:numId w:val="10"/>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crimes reported to the police</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and percent of teachers threatened at school</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youth accountability.  Most appropriate for schools or school districts.  Report the raw number of teachers that receive threats from students (actual or presumed).  Percent is the raw number divided by the total number of teachers.</w:t>
            </w:r>
          </w:p>
        </w:tc>
        <w:tc>
          <w:tcPr>
            <w:tcW w:w="3230" w:type="dxa"/>
          </w:tcPr>
          <w:p w:rsidR="006F678A" w:rsidRPr="006F678A" w:rsidRDefault="006F678A" w:rsidP="006F678A">
            <w:pPr>
              <w:keepLines/>
              <w:numPr>
                <w:ilvl w:val="0"/>
                <w:numId w:val="11"/>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teachers threatened</w:t>
            </w:r>
          </w:p>
          <w:p w:rsidR="006F678A" w:rsidRPr="006F678A" w:rsidRDefault="006F678A" w:rsidP="006F678A">
            <w:pPr>
              <w:keepLines/>
              <w:numPr>
                <w:ilvl w:val="0"/>
                <w:numId w:val="11"/>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teachers</w:t>
            </w:r>
          </w:p>
          <w:p w:rsidR="006F678A" w:rsidRPr="006F678A" w:rsidRDefault="006F678A" w:rsidP="006F678A">
            <w:pPr>
              <w:keepLines/>
              <w:numPr>
                <w:ilvl w:val="0"/>
                <w:numId w:val="11"/>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Average number of hours youth spend out of learning activities</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Measure of system operation, based on the idea that students should remain in a learning environment when possible.  Appropriate for schools or programs providing education or training.  Report the average number of hours youth spend outside of learning activities (e.g., lectures, presentations, field trips, or other activities designed to meet the instructional goals of the program/school) per week divided by the total hours of instruction possible per week.</w:t>
            </w:r>
          </w:p>
        </w:tc>
        <w:tc>
          <w:tcPr>
            <w:tcW w:w="3230" w:type="dxa"/>
          </w:tcPr>
          <w:p w:rsidR="006F678A" w:rsidRPr="006F678A" w:rsidRDefault="006F678A" w:rsidP="006F678A">
            <w:pPr>
              <w:keepLines/>
              <w:numPr>
                <w:ilvl w:val="0"/>
                <w:numId w:val="12"/>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Average number of hours spent out of class per week</w:t>
            </w:r>
          </w:p>
          <w:p w:rsidR="006F678A" w:rsidRPr="006F678A" w:rsidRDefault="006F678A" w:rsidP="006F678A">
            <w:pPr>
              <w:keepLines/>
              <w:numPr>
                <w:ilvl w:val="0"/>
                <w:numId w:val="12"/>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hours of possible class time</w:t>
            </w:r>
          </w:p>
          <w:p w:rsidR="006F678A" w:rsidRPr="006F678A" w:rsidRDefault="006F678A" w:rsidP="006F678A">
            <w:pPr>
              <w:keepLines/>
              <w:numPr>
                <w:ilvl w:val="0"/>
                <w:numId w:val="12"/>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Percent (A/B)</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r w:rsidR="006F678A" w:rsidRPr="006F678A" w:rsidTr="009D4BB5">
        <w:trPr>
          <w:cantSplit/>
        </w:trPr>
        <w:tc>
          <w:tcPr>
            <w:tcW w:w="457" w:type="dxa"/>
          </w:tcPr>
          <w:p w:rsidR="006F678A" w:rsidRPr="00FA217D" w:rsidRDefault="006F678A" w:rsidP="00FA217D">
            <w:pPr>
              <w:pStyle w:val="ListParagraph"/>
              <w:numPr>
                <w:ilvl w:val="0"/>
                <w:numId w:val="28"/>
              </w:numPr>
              <w:spacing w:after="0" w:line="240" w:lineRule="auto"/>
              <w:rPr>
                <w:rFonts w:ascii="Arial Narrow" w:hAnsi="Arial Narrow" w:cs="Tahoma"/>
                <w:sz w:val="18"/>
                <w:szCs w:val="17"/>
              </w:rPr>
            </w:pPr>
          </w:p>
        </w:tc>
        <w:tc>
          <w:tcPr>
            <w:tcW w:w="2070" w:type="dxa"/>
          </w:tcPr>
          <w:p w:rsidR="006F678A" w:rsidRPr="006F678A" w:rsidRDefault="006F678A" w:rsidP="006F678A">
            <w:pPr>
              <w:keepLines/>
              <w:spacing w:after="0" w:line="240" w:lineRule="auto"/>
              <w:rPr>
                <w:rFonts w:ascii="Arial Narrow" w:hAnsi="Arial Narrow" w:cs="Tahoma"/>
                <w:bCs/>
                <w:sz w:val="18"/>
                <w:szCs w:val="17"/>
              </w:rPr>
            </w:pPr>
            <w:r w:rsidRPr="006F678A">
              <w:rPr>
                <w:rFonts w:ascii="Arial Narrow" w:hAnsi="Arial Narrow" w:cs="Tahoma"/>
                <w:bCs/>
                <w:sz w:val="18"/>
                <w:szCs w:val="17"/>
              </w:rPr>
              <w:t>Number of weapons seized</w:t>
            </w:r>
          </w:p>
        </w:tc>
        <w:tc>
          <w:tcPr>
            <w:tcW w:w="3812" w:type="dxa"/>
          </w:tcPr>
          <w:p w:rsidR="006F678A" w:rsidRPr="006F678A" w:rsidRDefault="006F678A" w:rsidP="006F678A">
            <w:pPr>
              <w:keepLines/>
              <w:spacing w:after="0" w:line="240" w:lineRule="auto"/>
              <w:rPr>
                <w:rFonts w:ascii="Arial Narrow" w:hAnsi="Arial Narrow" w:cs="Tahoma"/>
                <w:sz w:val="18"/>
                <w:szCs w:val="17"/>
              </w:rPr>
            </w:pPr>
            <w:r w:rsidRPr="006F678A">
              <w:rPr>
                <w:rFonts w:ascii="Arial Narrow" w:hAnsi="Arial Narrow" w:cs="Tahoma"/>
                <w:sz w:val="18"/>
                <w:szCs w:val="17"/>
              </w:rPr>
              <w:t xml:space="preserve">Measure of youth accountability.  Appropriate for programs that serve youth.  Report the number of weapons (e.g., guns, knives, sticks) seized from youth.   </w:t>
            </w:r>
          </w:p>
        </w:tc>
        <w:tc>
          <w:tcPr>
            <w:tcW w:w="3230" w:type="dxa"/>
          </w:tcPr>
          <w:p w:rsidR="006F678A" w:rsidRPr="006F678A" w:rsidRDefault="006F678A" w:rsidP="006F678A">
            <w:pPr>
              <w:keepLines/>
              <w:numPr>
                <w:ilvl w:val="0"/>
                <w:numId w:val="13"/>
              </w:numPr>
              <w:tabs>
                <w:tab w:val="left" w:pos="288"/>
              </w:tabs>
              <w:spacing w:after="0" w:line="240" w:lineRule="auto"/>
              <w:ind w:left="288" w:hanging="288"/>
              <w:rPr>
                <w:rFonts w:ascii="Arial Narrow" w:hAnsi="Arial Narrow" w:cs="Tahoma"/>
                <w:sz w:val="18"/>
                <w:szCs w:val="17"/>
              </w:rPr>
            </w:pPr>
            <w:r w:rsidRPr="006F678A">
              <w:rPr>
                <w:rFonts w:ascii="Arial Narrow" w:hAnsi="Arial Narrow" w:cs="Tahoma"/>
                <w:sz w:val="18"/>
                <w:szCs w:val="17"/>
              </w:rPr>
              <w:t>Number of weapons seized</w:t>
            </w:r>
          </w:p>
        </w:tc>
        <w:tc>
          <w:tcPr>
            <w:tcW w:w="1696" w:type="dxa"/>
          </w:tcPr>
          <w:p w:rsidR="006F678A" w:rsidRPr="006F678A" w:rsidRDefault="006F678A" w:rsidP="006F678A">
            <w:pPr>
              <w:keepLines/>
              <w:spacing w:after="0" w:line="240" w:lineRule="auto"/>
              <w:ind w:left="720"/>
              <w:rPr>
                <w:rFonts w:ascii="Arial Narrow" w:hAnsi="Arial Narrow" w:cs="Tahoma"/>
                <w:sz w:val="18"/>
                <w:szCs w:val="17"/>
              </w:rPr>
            </w:pPr>
          </w:p>
        </w:tc>
      </w:tr>
    </w:tbl>
    <w:p w:rsidR="006F678A" w:rsidRPr="006F678A" w:rsidRDefault="006F678A" w:rsidP="006F678A">
      <w:pPr>
        <w:suppressAutoHyphens/>
        <w:spacing w:after="0" w:line="240" w:lineRule="auto"/>
        <w:rPr>
          <w:rFonts w:ascii="Arial Narrow" w:eastAsia="Times New Roman" w:hAnsi="Arial Narrow" w:cs="Times New Roman"/>
          <w:sz w:val="20"/>
          <w:szCs w:val="20"/>
        </w:rPr>
      </w:pPr>
      <w:r w:rsidRPr="006F678A">
        <w:rPr>
          <w:rFonts w:ascii="Arial Narrow" w:eastAsia="Times New Roman" w:hAnsi="Arial Narrow" w:cs="Times New Roman"/>
          <w:sz w:val="20"/>
          <w:szCs w:val="20"/>
        </w:rPr>
        <w:t xml:space="preserve"> </w:t>
      </w:r>
    </w:p>
    <w:p w:rsidR="00AA4FBE" w:rsidRDefault="00AA4FBE"/>
    <w:sectPr w:rsidR="00AA4FBE" w:rsidSect="006F678A">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DA4" w:rsidRDefault="004B7DA4" w:rsidP="006F678A">
      <w:pPr>
        <w:spacing w:after="0" w:line="240" w:lineRule="auto"/>
      </w:pPr>
      <w:r>
        <w:separator/>
      </w:r>
    </w:p>
  </w:endnote>
  <w:endnote w:type="continuationSeparator" w:id="0">
    <w:p w:rsidR="004B7DA4" w:rsidRDefault="004B7DA4" w:rsidP="006F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6F678A" w:rsidRPr="006F678A" w:rsidRDefault="006F678A" w:rsidP="006F678A">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School Safety</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FA217D">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DA4" w:rsidRDefault="004B7DA4" w:rsidP="006F678A">
      <w:pPr>
        <w:spacing w:after="0" w:line="240" w:lineRule="auto"/>
      </w:pPr>
      <w:r>
        <w:separator/>
      </w:r>
    </w:p>
  </w:footnote>
  <w:footnote w:type="continuationSeparator" w:id="0">
    <w:p w:rsidR="004B7DA4" w:rsidRDefault="004B7DA4" w:rsidP="006F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78A" w:rsidRPr="006F678A" w:rsidRDefault="006F678A" w:rsidP="006F678A">
    <w:pPr>
      <w:keepNext/>
      <w:spacing w:after="0" w:line="240" w:lineRule="auto"/>
      <w:jc w:val="center"/>
      <w:outlineLvl w:val="0"/>
      <w:rPr>
        <w:rFonts w:ascii="Arial Bold" w:eastAsia="Times New Roman" w:hAnsi="Arial Bold" w:cs="Times New Roman"/>
        <w:caps/>
        <w:kern w:val="28"/>
        <w:sz w:val="24"/>
        <w:szCs w:val="24"/>
      </w:rPr>
    </w:pPr>
    <w:r w:rsidRPr="006F678A">
      <w:rPr>
        <w:rFonts w:ascii="Arial Bold" w:eastAsia="Times New Roman" w:hAnsi="Arial Bold" w:cs="Times New Roman"/>
        <w:caps/>
        <w:kern w:val="28"/>
        <w:sz w:val="24"/>
        <w:szCs w:val="24"/>
      </w:rPr>
      <w:t xml:space="preserve">OFFICE OF JUVENILE JUSTICE AND DELINQUENCY PREVENTION </w:t>
    </w:r>
  </w:p>
  <w:p w:rsidR="006F678A" w:rsidRPr="006F678A" w:rsidRDefault="006F678A" w:rsidP="006F678A">
    <w:pPr>
      <w:keepNext/>
      <w:spacing w:before="100" w:after="320" w:line="240" w:lineRule="auto"/>
      <w:jc w:val="center"/>
      <w:outlineLvl w:val="0"/>
      <w:rPr>
        <w:rFonts w:ascii="Arial Bold" w:eastAsia="Times New Roman" w:hAnsi="Arial Bold" w:cs="Times New Roman"/>
        <w:caps/>
        <w:color w:val="003366"/>
        <w:kern w:val="28"/>
        <w:sz w:val="24"/>
        <w:szCs w:val="24"/>
      </w:rPr>
    </w:pPr>
    <w:r w:rsidRPr="006F678A">
      <w:rPr>
        <w:rFonts w:ascii="Arial Bold" w:eastAsia="Times New Roman" w:hAnsi="Arial Bold" w:cs="Times New Roman"/>
        <w:caps/>
        <w:color w:val="003366"/>
        <w:kern w:val="28"/>
        <w:sz w:val="24"/>
        <w:szCs w:val="24"/>
      </w:rPr>
      <w:t>Juvenile Accountability Block Grant Program</w:t>
    </w:r>
  </w:p>
  <w:p w:rsidR="00C2205D" w:rsidRPr="006F678A" w:rsidRDefault="006F678A" w:rsidP="006F678A">
    <w:pPr>
      <w:keepNext/>
      <w:spacing w:before="240" w:after="240" w:line="240" w:lineRule="auto"/>
      <w:jc w:val="center"/>
      <w:outlineLvl w:val="0"/>
      <w:rPr>
        <w:rFonts w:ascii="Arial Bold" w:eastAsia="Times New Roman" w:hAnsi="Arial Bold" w:cs="Times New Roman"/>
        <w:b/>
        <w:caps/>
        <w:kern w:val="28"/>
        <w:szCs w:val="24"/>
      </w:rPr>
    </w:pPr>
    <w:r w:rsidRPr="006F678A">
      <w:rPr>
        <w:rFonts w:ascii="Arial Bold" w:eastAsia="Times New Roman" w:hAnsi="Arial Bold" w:cs="Times New Roman"/>
        <w:b/>
        <w:caps/>
        <w:kern w:val="28"/>
        <w:szCs w:val="24"/>
      </w:rPr>
      <w:t xml:space="preserve">PURPOSE Area: </w:t>
    </w:r>
    <w:r w:rsidRPr="006F678A">
      <w:rPr>
        <w:rFonts w:ascii="Arial Bold" w:eastAsia="Times New Roman" w:hAnsi="Arial Bold" w:cs="Times New Roman"/>
        <w:b/>
        <w:caps/>
        <w:color w:val="003366"/>
        <w:kern w:val="28"/>
        <w:szCs w:val="24"/>
      </w:rPr>
      <w:t>School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4B1"/>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097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6575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4799"/>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B21EA"/>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717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E02A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1051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77D1C"/>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B61FB"/>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6746D"/>
    <w:multiLevelType w:val="hybridMultilevel"/>
    <w:tmpl w:val="A264898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A56402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B5E0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1691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02AE3"/>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B4A4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B7677"/>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F38A4"/>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568AE"/>
    <w:multiLevelType w:val="hybridMultilevel"/>
    <w:tmpl w:val="5DF6388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16631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6086D"/>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1C8A"/>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16DB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C56F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E5D88"/>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B120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02156"/>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75F6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06D67"/>
    <w:multiLevelType w:val="hybridMultilevel"/>
    <w:tmpl w:val="EDEABCE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3"/>
  </w:num>
  <w:num w:numId="3">
    <w:abstractNumId w:val="7"/>
  </w:num>
  <w:num w:numId="4">
    <w:abstractNumId w:val="13"/>
  </w:num>
  <w:num w:numId="5">
    <w:abstractNumId w:val="25"/>
  </w:num>
  <w:num w:numId="6">
    <w:abstractNumId w:val="11"/>
  </w:num>
  <w:num w:numId="7">
    <w:abstractNumId w:val="27"/>
  </w:num>
  <w:num w:numId="8">
    <w:abstractNumId w:val="19"/>
  </w:num>
  <w:num w:numId="9">
    <w:abstractNumId w:val="6"/>
  </w:num>
  <w:num w:numId="10">
    <w:abstractNumId w:val="5"/>
  </w:num>
  <w:num w:numId="11">
    <w:abstractNumId w:val="20"/>
  </w:num>
  <w:num w:numId="12">
    <w:abstractNumId w:val="2"/>
  </w:num>
  <w:num w:numId="13">
    <w:abstractNumId w:val="15"/>
  </w:num>
  <w:num w:numId="14">
    <w:abstractNumId w:val="24"/>
  </w:num>
  <w:num w:numId="15">
    <w:abstractNumId w:val="9"/>
  </w:num>
  <w:num w:numId="16">
    <w:abstractNumId w:val="22"/>
  </w:num>
  <w:num w:numId="17">
    <w:abstractNumId w:val="26"/>
  </w:num>
  <w:num w:numId="18">
    <w:abstractNumId w:val="4"/>
  </w:num>
  <w:num w:numId="19">
    <w:abstractNumId w:val="21"/>
  </w:num>
  <w:num w:numId="20">
    <w:abstractNumId w:val="3"/>
  </w:num>
  <w:num w:numId="21">
    <w:abstractNumId w:val="10"/>
  </w:num>
  <w:num w:numId="22">
    <w:abstractNumId w:val="1"/>
  </w:num>
  <w:num w:numId="23">
    <w:abstractNumId w:val="0"/>
  </w:num>
  <w:num w:numId="24">
    <w:abstractNumId w:val="8"/>
  </w:num>
  <w:num w:numId="25">
    <w:abstractNumId w:val="17"/>
  </w:num>
  <w:num w:numId="26">
    <w:abstractNumId w:val="16"/>
  </w:num>
  <w:num w:numId="27">
    <w:abstractNumId w:val="14"/>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8A"/>
    <w:rsid w:val="004B7DA4"/>
    <w:rsid w:val="00666DC8"/>
    <w:rsid w:val="006F678A"/>
    <w:rsid w:val="00AA4FBE"/>
    <w:rsid w:val="00B61667"/>
    <w:rsid w:val="00FA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7CCFBEB-84D1-4C77-8444-CE86A11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F6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78A"/>
  </w:style>
  <w:style w:type="paragraph" w:styleId="Footer">
    <w:name w:val="footer"/>
    <w:basedOn w:val="Normal"/>
    <w:link w:val="FooterChar"/>
    <w:uiPriority w:val="99"/>
    <w:unhideWhenUsed/>
    <w:rsid w:val="006F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78A"/>
  </w:style>
  <w:style w:type="paragraph" w:styleId="NoSpacing">
    <w:name w:val="No Spacing"/>
    <w:uiPriority w:val="1"/>
    <w:qFormat/>
    <w:rsid w:val="006F678A"/>
    <w:pPr>
      <w:spacing w:after="0" w:line="240" w:lineRule="auto"/>
    </w:pPr>
  </w:style>
  <w:style w:type="paragraph" w:styleId="ListParagraph">
    <w:name w:val="List Paragraph"/>
    <w:basedOn w:val="Normal"/>
    <w:uiPriority w:val="34"/>
    <w:qFormat/>
    <w:rsid w:val="00FA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2021-07-23T13:01:00Z</dcterms:created>
  <dcterms:modified xsi:type="dcterms:W3CDTF">2021-07-23T13:01:00Z</dcterms:modified>
</cp:coreProperties>
</file>