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ACA" w:rsidRPr="00174ACA" w:rsidRDefault="00174ACA" w:rsidP="00174ACA">
      <w:pPr>
        <w:spacing w:after="0" w:line="240" w:lineRule="auto"/>
        <w:jc w:val="center"/>
        <w:rPr>
          <w:rFonts w:ascii="Arial Narrow" w:hAnsi="Arial Narrow"/>
        </w:rPr>
      </w:pPr>
      <w:bookmarkStart w:id="0" w:name="_GoBack"/>
      <w:bookmarkEnd w:id="0"/>
      <w:r w:rsidRPr="00174ACA">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56"/>
        <w:gridCol w:w="1867"/>
        <w:gridCol w:w="3684"/>
        <w:gridCol w:w="3158"/>
        <w:gridCol w:w="1785"/>
      </w:tblGrid>
      <w:tr w:rsidR="00174ACA" w:rsidRPr="00174ACA" w:rsidTr="009D4BB5">
        <w:trPr>
          <w:cantSplit/>
          <w:tblHeader/>
        </w:trPr>
        <w:tc>
          <w:tcPr>
            <w:tcW w:w="458" w:type="dxa"/>
            <w:tcBorders>
              <w:right w:val="single" w:sz="6" w:space="0" w:color="FFFFFF"/>
            </w:tcBorders>
            <w:shd w:val="clear" w:color="auto" w:fill="003366"/>
            <w:vAlign w:val="center"/>
          </w:tcPr>
          <w:p w:rsidR="00174ACA" w:rsidRPr="00174ACA" w:rsidRDefault="00174ACA" w:rsidP="00174ACA">
            <w:pPr>
              <w:keepLines/>
              <w:spacing w:after="0" w:line="240" w:lineRule="auto"/>
              <w:jc w:val="center"/>
              <w:rPr>
                <w:rFonts w:ascii="Arial Narrow" w:hAnsi="Arial Narrow" w:cs="Tahoma"/>
                <w:sz w:val="20"/>
              </w:rPr>
            </w:pPr>
            <w:r w:rsidRPr="00174ACA">
              <w:rPr>
                <w:rFonts w:ascii="Arial Narrow" w:hAnsi="Arial Narrow" w:cs="Tahoma"/>
                <w:b/>
                <w:bCs/>
                <w:sz w:val="20"/>
              </w:rPr>
              <w:t>#</w:t>
            </w:r>
          </w:p>
        </w:tc>
        <w:tc>
          <w:tcPr>
            <w:tcW w:w="1872" w:type="dxa"/>
            <w:tcBorders>
              <w:left w:val="single" w:sz="6" w:space="0" w:color="FFFFFF"/>
              <w:right w:val="single" w:sz="6" w:space="0" w:color="FFFFFF"/>
            </w:tcBorders>
            <w:shd w:val="clear" w:color="auto" w:fill="003366"/>
            <w:vAlign w:val="center"/>
          </w:tcPr>
          <w:p w:rsidR="00174ACA" w:rsidRPr="00174ACA" w:rsidRDefault="00174ACA" w:rsidP="00174ACA">
            <w:pPr>
              <w:keepLines/>
              <w:spacing w:after="0" w:line="240" w:lineRule="auto"/>
              <w:jc w:val="center"/>
              <w:rPr>
                <w:rFonts w:ascii="Arial Narrow" w:hAnsi="Arial Narrow" w:cs="Tahoma"/>
                <w:sz w:val="20"/>
              </w:rPr>
            </w:pPr>
            <w:r w:rsidRPr="00174ACA">
              <w:rPr>
                <w:rFonts w:ascii="Arial Narrow" w:hAnsi="Arial Narrow" w:cs="Tahoma"/>
                <w:b/>
                <w:bCs/>
                <w:sz w:val="20"/>
              </w:rPr>
              <w:t>Output Measure</w:t>
            </w:r>
          </w:p>
        </w:tc>
        <w:tc>
          <w:tcPr>
            <w:tcW w:w="3700" w:type="dxa"/>
            <w:tcBorders>
              <w:left w:val="single" w:sz="6" w:space="0" w:color="FFFFFF"/>
              <w:right w:val="single" w:sz="6" w:space="0" w:color="FFFFFF" w:themeColor="background1"/>
            </w:tcBorders>
            <w:shd w:val="clear" w:color="auto" w:fill="003366"/>
            <w:vAlign w:val="center"/>
          </w:tcPr>
          <w:p w:rsidR="00174ACA" w:rsidRPr="00174ACA" w:rsidRDefault="00174ACA" w:rsidP="00174ACA">
            <w:pPr>
              <w:keepLines/>
              <w:spacing w:after="0" w:line="240" w:lineRule="auto"/>
              <w:jc w:val="center"/>
              <w:rPr>
                <w:rFonts w:ascii="Arial Narrow" w:hAnsi="Arial Narrow" w:cs="Tahoma"/>
                <w:sz w:val="20"/>
              </w:rPr>
            </w:pPr>
            <w:r w:rsidRPr="00174ACA">
              <w:rPr>
                <w:rFonts w:ascii="Arial Narrow" w:hAnsi="Arial Narrow" w:cs="Tahoma"/>
                <w:b/>
                <w:bCs/>
                <w:sz w:val="20"/>
              </w:rPr>
              <w:t>Definition</w:t>
            </w:r>
          </w:p>
        </w:tc>
        <w:tc>
          <w:tcPr>
            <w:tcW w:w="3158" w:type="dxa"/>
            <w:tcBorders>
              <w:left w:val="single" w:sz="6" w:space="0" w:color="FFFFFF" w:themeColor="background1"/>
              <w:right w:val="single" w:sz="6" w:space="0" w:color="FFFFFF" w:themeColor="background1"/>
            </w:tcBorders>
            <w:shd w:val="clear" w:color="auto" w:fill="003366"/>
            <w:noWrap/>
            <w:vAlign w:val="center"/>
          </w:tcPr>
          <w:p w:rsidR="00174ACA" w:rsidRPr="00174ACA" w:rsidRDefault="00174ACA" w:rsidP="00174ACA">
            <w:pPr>
              <w:keepLines/>
              <w:spacing w:after="0" w:line="240" w:lineRule="auto"/>
              <w:jc w:val="center"/>
              <w:rPr>
                <w:rFonts w:ascii="Arial Narrow" w:hAnsi="Arial Narrow" w:cs="Tahoma"/>
                <w:sz w:val="20"/>
              </w:rPr>
            </w:pPr>
            <w:r w:rsidRPr="00174ACA">
              <w:rPr>
                <w:rFonts w:ascii="Arial Narrow" w:hAnsi="Arial Narrow" w:cs="Tahoma"/>
                <w:b/>
                <w:bCs/>
                <w:sz w:val="20"/>
              </w:rPr>
              <w:t>Data Grantee Reports</w:t>
            </w:r>
          </w:p>
        </w:tc>
        <w:tc>
          <w:tcPr>
            <w:tcW w:w="1792" w:type="dxa"/>
            <w:tcBorders>
              <w:left w:val="single" w:sz="6" w:space="0" w:color="FFFFFF" w:themeColor="background1"/>
            </w:tcBorders>
            <w:shd w:val="clear" w:color="auto" w:fill="003366"/>
          </w:tcPr>
          <w:p w:rsidR="00174ACA" w:rsidRPr="00174ACA" w:rsidRDefault="00174ACA" w:rsidP="00174ACA">
            <w:pPr>
              <w:keepLines/>
              <w:spacing w:after="0" w:line="240" w:lineRule="auto"/>
              <w:jc w:val="center"/>
              <w:rPr>
                <w:rFonts w:ascii="Arial Narrow" w:hAnsi="Arial Narrow" w:cs="Tahoma"/>
                <w:b/>
                <w:bCs/>
                <w:sz w:val="20"/>
              </w:rPr>
            </w:pPr>
            <w:r w:rsidRPr="00174ACA">
              <w:rPr>
                <w:rFonts w:ascii="Arial Narrow" w:hAnsi="Arial Narrow" w:cs="Tahoma"/>
                <w:b/>
                <w:bCs/>
                <w:sz w:val="20"/>
              </w:rPr>
              <w:t>Record Data Here</w:t>
            </w: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
                <w:bCs/>
                <w:sz w:val="18"/>
                <w:szCs w:val="17"/>
              </w:rPr>
            </w:pPr>
            <w:r w:rsidRPr="00174ACA">
              <w:rPr>
                <w:rFonts w:ascii="Arial Narrow" w:hAnsi="Arial Narrow" w:cs="Tahoma"/>
                <w:b/>
                <w:bCs/>
                <w:sz w:val="18"/>
                <w:szCs w:val="17"/>
              </w:rPr>
              <w:t>Amount of JABG/Tribal JADG funds awarded for system improvement</w:t>
            </w:r>
          </w:p>
          <w:p w:rsidR="00174ACA" w:rsidRPr="00174ACA" w:rsidRDefault="00174ACA" w:rsidP="00174ACA">
            <w:pPr>
              <w:keepLines/>
              <w:spacing w:after="0" w:line="240" w:lineRule="auto"/>
              <w:rPr>
                <w:rFonts w:ascii="Arial Narrow" w:hAnsi="Arial Narrow" w:cs="Tahoma"/>
                <w:b/>
                <w:bCs/>
                <w:sz w:val="18"/>
                <w:szCs w:val="17"/>
              </w:rPr>
            </w:pPr>
          </w:p>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 xml:space="preserve">(Mandatory for System Improvement only) </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158" w:type="dxa"/>
          </w:tcPr>
          <w:p w:rsidR="00174ACA" w:rsidRPr="00174ACA" w:rsidRDefault="00174ACA" w:rsidP="00174ACA">
            <w:pPr>
              <w:keepLines/>
              <w:numPr>
                <w:ilvl w:val="0"/>
                <w:numId w:val="12"/>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Funds awarded to program for services</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partner agencies</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collaboration.  Appropriate for any grantee involved in at least one partnership.  Report the number of agencies that have formal partnership agreements (e.g., memoranda of understanding, contracts, or letters of agreement) with the grantee.</w:t>
            </w:r>
          </w:p>
        </w:tc>
        <w:tc>
          <w:tcPr>
            <w:tcW w:w="3158" w:type="dxa"/>
          </w:tcPr>
          <w:p w:rsidR="00174ACA" w:rsidRPr="00174ACA" w:rsidRDefault="00174ACA" w:rsidP="00174ACA">
            <w:pPr>
              <w:keepLines/>
              <w:numPr>
                <w:ilvl w:val="0"/>
                <w:numId w:val="13"/>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partner agencies</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data elements shared among partner agencies</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collaboration.  Appropriate for any grantee with at least one partnership.  Report the number of different pieces of information that are shared by the grantee and its partner agencies.  Different pieces of information might be each of the responses to an assessment, case manager reports, results of drug tests, or informed consent.</w:t>
            </w:r>
          </w:p>
        </w:tc>
        <w:tc>
          <w:tcPr>
            <w:tcW w:w="3158" w:type="dxa"/>
          </w:tcPr>
          <w:p w:rsidR="00174ACA" w:rsidRPr="00174ACA" w:rsidRDefault="00174ACA" w:rsidP="00174ACA">
            <w:pPr>
              <w:keepLines/>
              <w:numPr>
                <w:ilvl w:val="0"/>
                <w:numId w:val="14"/>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shared data elements</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youth about whom there is a complete case file</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accountability.  Appropriate for grantees that require client information from outside sources (e.g., school records, public health records) under this purpose area.  Report the raw number of grantee case files (not individual youth) that are complete (i.e., all required data about that case are in the case file).  Percent is the raw number divided by the total number of case files that are active, and processed or handled by the grantee.</w:t>
            </w:r>
          </w:p>
        </w:tc>
        <w:tc>
          <w:tcPr>
            <w:tcW w:w="3158" w:type="dxa"/>
          </w:tcPr>
          <w:p w:rsidR="00174ACA" w:rsidRPr="00174ACA" w:rsidRDefault="00174ACA" w:rsidP="00174ACA">
            <w:pPr>
              <w:keepLines/>
              <w:numPr>
                <w:ilvl w:val="0"/>
                <w:numId w:val="15"/>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 xml:space="preserve">Number of complete case files </w:t>
            </w:r>
          </w:p>
          <w:p w:rsidR="00174ACA" w:rsidRPr="00174ACA" w:rsidRDefault="00174ACA" w:rsidP="00174ACA">
            <w:pPr>
              <w:keepLines/>
              <w:numPr>
                <w:ilvl w:val="0"/>
                <w:numId w:val="15"/>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case files</w:t>
            </w:r>
          </w:p>
          <w:p w:rsidR="00174ACA" w:rsidRPr="00174ACA" w:rsidRDefault="00174ACA" w:rsidP="00174ACA">
            <w:pPr>
              <w:keepLines/>
              <w:numPr>
                <w:ilvl w:val="0"/>
                <w:numId w:val="15"/>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staff trained in information sharing</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Determine system accountability based on the idea that for the process to be useful, staff must be trained to use it.  Appropriate for most grantees under this purpose area.  Report the raw number of staff that have received any amount of formal training about information sharing (include both general information and agency specific information).  Training can be in any format or medium as long as its receipt can be verified.  Training can be from any source as long as it was at least facilitated by the JABG/Tribal JADG funds.  Percent is the raw number divided by the total number of grantee staff.</w:t>
            </w:r>
          </w:p>
        </w:tc>
        <w:tc>
          <w:tcPr>
            <w:tcW w:w="3158" w:type="dxa"/>
          </w:tcPr>
          <w:p w:rsidR="00174ACA" w:rsidRPr="00174ACA" w:rsidRDefault="00174ACA" w:rsidP="00174ACA">
            <w:pPr>
              <w:keepLines/>
              <w:numPr>
                <w:ilvl w:val="0"/>
                <w:numId w:val="16"/>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staff trained in information sharing</w:t>
            </w:r>
          </w:p>
          <w:p w:rsidR="00174ACA" w:rsidRPr="00174ACA" w:rsidRDefault="00174ACA" w:rsidP="00174ACA">
            <w:pPr>
              <w:keepLines/>
              <w:numPr>
                <w:ilvl w:val="0"/>
                <w:numId w:val="16"/>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staff total</w:t>
            </w:r>
          </w:p>
          <w:p w:rsidR="00174ACA" w:rsidRPr="00174ACA" w:rsidRDefault="00174ACA" w:rsidP="00174ACA">
            <w:pPr>
              <w:keepLines/>
              <w:numPr>
                <w:ilvl w:val="0"/>
                <w:numId w:val="16"/>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hours of training provided about the information sharing</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Determine system accountability based on the idea that for the process to be useful, staff must be trained to use it.  Appropriate for most grantees under this purpose area.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w:t>
            </w:r>
          </w:p>
        </w:tc>
        <w:tc>
          <w:tcPr>
            <w:tcW w:w="3158" w:type="dxa"/>
          </w:tcPr>
          <w:p w:rsidR="00174ACA" w:rsidRPr="00174ACA" w:rsidRDefault="00174ACA" w:rsidP="00174ACA">
            <w:pPr>
              <w:keepLines/>
              <w:numPr>
                <w:ilvl w:val="0"/>
                <w:numId w:val="17"/>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hours of training offered</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training requests RECEIVED</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This measure represents the number of training requests received during the reporting period. Requests can come from individuals or organizations served.</w:t>
            </w:r>
          </w:p>
        </w:tc>
        <w:tc>
          <w:tcPr>
            <w:tcW w:w="3158" w:type="dxa"/>
          </w:tcPr>
          <w:p w:rsidR="00174ACA" w:rsidRPr="00174ACA" w:rsidRDefault="00174ACA" w:rsidP="00174ACA">
            <w:pPr>
              <w:keepLines/>
              <w:numPr>
                <w:ilvl w:val="0"/>
                <w:numId w:val="18"/>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training requests received during the reporting period.</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spacing w:after="0" w:line="240" w:lineRule="auto"/>
              <w:rPr>
                <w:rFonts w:ascii="Arial Narrow" w:hAnsi="Arial Narrow" w:cs="Tahoma"/>
                <w:sz w:val="18"/>
                <w:szCs w:val="17"/>
              </w:rPr>
            </w:pPr>
            <w:r w:rsidRPr="00174ACA">
              <w:rPr>
                <w:rFonts w:ascii="Arial Narrow" w:hAnsi="Arial Narrow" w:cs="Tahoma"/>
                <w:sz w:val="18"/>
                <w:szCs w:val="17"/>
              </w:rPr>
              <w:t>Number of technical assistance requests RECEIVED</w:t>
            </w:r>
          </w:p>
        </w:tc>
        <w:tc>
          <w:tcPr>
            <w:tcW w:w="3700" w:type="dxa"/>
          </w:tcPr>
          <w:p w:rsidR="00174ACA" w:rsidRPr="00174ACA" w:rsidRDefault="00174ACA" w:rsidP="00174ACA">
            <w:pPr>
              <w:spacing w:after="0" w:line="240" w:lineRule="auto"/>
              <w:rPr>
                <w:rFonts w:ascii="Arial Narrow" w:hAnsi="Arial Narrow" w:cs="Tahoma"/>
                <w:sz w:val="18"/>
                <w:szCs w:val="17"/>
              </w:rPr>
            </w:pPr>
            <w:r w:rsidRPr="00174ACA">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158" w:type="dxa"/>
          </w:tcPr>
          <w:p w:rsidR="00174ACA" w:rsidRPr="00174ACA" w:rsidRDefault="00174ACA" w:rsidP="00174ACA">
            <w:pPr>
              <w:keepLines/>
              <w:numPr>
                <w:ilvl w:val="0"/>
                <w:numId w:val="19"/>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technical assistance requests received during the reporting period</w:t>
            </w:r>
          </w:p>
        </w:tc>
        <w:tc>
          <w:tcPr>
            <w:tcW w:w="1792" w:type="dxa"/>
          </w:tcPr>
          <w:p w:rsidR="00174ACA" w:rsidRPr="00174ACA" w:rsidRDefault="00174ACA" w:rsidP="00174ACA">
            <w:pPr>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program materials developed during the reporting period</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158" w:type="dxa"/>
          </w:tcPr>
          <w:p w:rsidR="00174ACA" w:rsidRPr="00174ACA" w:rsidRDefault="00174ACA" w:rsidP="00174ACA">
            <w:pPr>
              <w:keepLines/>
              <w:numPr>
                <w:ilvl w:val="0"/>
                <w:numId w:val="20"/>
              </w:numPr>
              <w:tabs>
                <w:tab w:val="left" w:pos="288"/>
                <w:tab w:val="left" w:pos="1166"/>
              </w:tabs>
              <w:spacing w:after="0" w:line="240" w:lineRule="auto"/>
              <w:ind w:left="383"/>
              <w:rPr>
                <w:rFonts w:ascii="Arial Narrow" w:hAnsi="Arial Narrow" w:cs="Tahoma"/>
                <w:sz w:val="18"/>
                <w:szCs w:val="17"/>
              </w:rPr>
            </w:pPr>
            <w:r w:rsidRPr="00174ACA">
              <w:rPr>
                <w:rFonts w:ascii="Arial Narrow" w:hAnsi="Arial Narrow" w:cs="Tahoma"/>
                <w:sz w:val="18"/>
                <w:szCs w:val="17"/>
              </w:rPr>
              <w:t>Number of program materials developed</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planning or training events held during the reporting period</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158" w:type="dxa"/>
          </w:tcPr>
          <w:p w:rsidR="00174ACA" w:rsidRPr="00174ACA" w:rsidRDefault="00174ACA" w:rsidP="00174ACA">
            <w:pPr>
              <w:keepLines/>
              <w:numPr>
                <w:ilvl w:val="0"/>
                <w:numId w:val="21"/>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planning or training activities held during the reporting period</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people trained during the reporting period</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158" w:type="dxa"/>
          </w:tcPr>
          <w:p w:rsidR="00174ACA" w:rsidRPr="00174ACA" w:rsidRDefault="00174ACA" w:rsidP="00174ACA">
            <w:pPr>
              <w:keepLines/>
              <w:numPr>
                <w:ilvl w:val="0"/>
                <w:numId w:val="22"/>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people trained</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58"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1872"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700"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158" w:type="dxa"/>
          </w:tcPr>
          <w:p w:rsidR="00174ACA" w:rsidRPr="00174ACA" w:rsidRDefault="00174ACA" w:rsidP="00174ACA">
            <w:pPr>
              <w:keepLines/>
              <w:numPr>
                <w:ilvl w:val="0"/>
                <w:numId w:val="23"/>
              </w:numPr>
              <w:tabs>
                <w:tab w:val="left" w:pos="288"/>
              </w:tabs>
              <w:spacing w:after="0" w:line="240" w:lineRule="auto"/>
              <w:ind w:left="383"/>
              <w:rPr>
                <w:rFonts w:ascii="Arial Narrow" w:hAnsi="Arial Narrow" w:cs="Tahoma"/>
                <w:sz w:val="18"/>
                <w:szCs w:val="17"/>
              </w:rPr>
            </w:pPr>
            <w:r w:rsidRPr="00174ACA">
              <w:rPr>
                <w:rFonts w:ascii="Arial Narrow" w:hAnsi="Arial Narrow" w:cs="Tahoma"/>
                <w:sz w:val="18"/>
                <w:szCs w:val="17"/>
              </w:rPr>
              <w:t>Number of programs served by TTA that reported using an evidence-based program and / or practice.</w:t>
            </w:r>
          </w:p>
          <w:p w:rsidR="00174ACA" w:rsidRPr="00174ACA" w:rsidRDefault="00174ACA" w:rsidP="00174ACA">
            <w:pPr>
              <w:keepLines/>
              <w:numPr>
                <w:ilvl w:val="0"/>
                <w:numId w:val="23"/>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programs served by TTA</w:t>
            </w:r>
          </w:p>
          <w:p w:rsidR="00174ACA" w:rsidRPr="00174ACA" w:rsidRDefault="00174ACA" w:rsidP="00174ACA">
            <w:pPr>
              <w:keepLines/>
              <w:numPr>
                <w:ilvl w:val="0"/>
                <w:numId w:val="23"/>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of programs served by TTA that report using an evidence-based program and / or practice (A/B)</w:t>
            </w:r>
          </w:p>
        </w:tc>
        <w:tc>
          <w:tcPr>
            <w:tcW w:w="1792" w:type="dxa"/>
          </w:tcPr>
          <w:p w:rsidR="00174ACA" w:rsidRPr="00174ACA" w:rsidRDefault="00174ACA" w:rsidP="00174ACA">
            <w:pPr>
              <w:keepLines/>
              <w:spacing w:after="0" w:line="240" w:lineRule="auto"/>
              <w:ind w:left="720"/>
              <w:rPr>
                <w:rFonts w:ascii="Arial Narrow" w:hAnsi="Arial Narrow" w:cs="Tahoma"/>
                <w:sz w:val="18"/>
                <w:szCs w:val="17"/>
              </w:rPr>
            </w:pPr>
          </w:p>
        </w:tc>
      </w:tr>
    </w:tbl>
    <w:p w:rsidR="00174ACA" w:rsidRPr="00174ACA" w:rsidRDefault="00174ACA" w:rsidP="00174ACA">
      <w:pPr>
        <w:spacing w:after="0" w:line="240" w:lineRule="auto"/>
        <w:rPr>
          <w:rFonts w:ascii="Arial Narrow" w:hAnsi="Arial Narrow"/>
        </w:rPr>
        <w:sectPr w:rsidR="00174ACA" w:rsidRPr="00174ACA" w:rsidSect="00174ACA">
          <w:headerReference w:type="default" r:id="rId7"/>
          <w:footerReference w:type="default" r:id="rId8"/>
          <w:pgSz w:w="12240" w:h="15840"/>
          <w:pgMar w:top="720" w:right="720" w:bottom="720" w:left="720" w:header="576" w:footer="576" w:gutter="0"/>
          <w:cols w:space="720"/>
          <w:docGrid w:linePitch="360"/>
        </w:sectPr>
      </w:pPr>
    </w:p>
    <w:p w:rsidR="00174ACA" w:rsidRPr="00174ACA" w:rsidRDefault="00174ACA" w:rsidP="00174ACA">
      <w:pPr>
        <w:spacing w:after="0" w:line="240" w:lineRule="auto"/>
        <w:jc w:val="center"/>
        <w:rPr>
          <w:rFonts w:ascii="Arial Narrow" w:hAnsi="Arial Narrow"/>
        </w:rPr>
      </w:pPr>
      <w:r w:rsidRPr="00174ACA">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65"/>
        <w:gridCol w:w="1973"/>
        <w:gridCol w:w="3487"/>
        <w:gridCol w:w="3140"/>
        <w:gridCol w:w="1885"/>
      </w:tblGrid>
      <w:tr w:rsidR="00174ACA" w:rsidRPr="00174ACA" w:rsidTr="009D4BB5">
        <w:trPr>
          <w:cantSplit/>
          <w:tblHeader/>
        </w:trPr>
        <w:tc>
          <w:tcPr>
            <w:tcW w:w="480" w:type="dxa"/>
            <w:tcBorders>
              <w:right w:val="single" w:sz="6" w:space="0" w:color="FFFFFF"/>
            </w:tcBorders>
            <w:shd w:val="clear" w:color="auto" w:fill="003366"/>
            <w:vAlign w:val="center"/>
          </w:tcPr>
          <w:p w:rsidR="00174ACA" w:rsidRPr="00174ACA" w:rsidRDefault="00174ACA" w:rsidP="00174ACA">
            <w:pPr>
              <w:keepLines/>
              <w:spacing w:after="0" w:line="240" w:lineRule="auto"/>
              <w:jc w:val="center"/>
              <w:rPr>
                <w:rFonts w:ascii="Arial Narrow" w:hAnsi="Arial Narrow" w:cs="Tahoma"/>
                <w:sz w:val="20"/>
                <w:szCs w:val="17"/>
              </w:rPr>
            </w:pPr>
            <w:r w:rsidRPr="00174ACA">
              <w:rPr>
                <w:rFonts w:ascii="Arial Narrow" w:hAnsi="Arial Narrow" w:cs="Tahoma"/>
                <w:b/>
                <w:bCs/>
                <w:sz w:val="20"/>
                <w:szCs w:val="17"/>
              </w:rPr>
              <w:t>#</w:t>
            </w:r>
          </w:p>
        </w:tc>
        <w:tc>
          <w:tcPr>
            <w:tcW w:w="2033" w:type="dxa"/>
            <w:tcBorders>
              <w:left w:val="single" w:sz="6" w:space="0" w:color="FFFFFF"/>
              <w:right w:val="single" w:sz="6" w:space="0" w:color="FFFFFF"/>
            </w:tcBorders>
            <w:shd w:val="clear" w:color="auto" w:fill="003366"/>
            <w:vAlign w:val="center"/>
          </w:tcPr>
          <w:p w:rsidR="00174ACA" w:rsidRPr="00174ACA" w:rsidRDefault="00174ACA" w:rsidP="00174ACA">
            <w:pPr>
              <w:keepLines/>
              <w:spacing w:after="0" w:line="240" w:lineRule="auto"/>
              <w:jc w:val="center"/>
              <w:rPr>
                <w:rFonts w:ascii="Arial Narrow" w:hAnsi="Arial Narrow" w:cs="Tahoma"/>
                <w:sz w:val="20"/>
                <w:szCs w:val="17"/>
              </w:rPr>
            </w:pPr>
            <w:r w:rsidRPr="00174ACA">
              <w:rPr>
                <w:rFonts w:ascii="Arial Narrow" w:hAnsi="Arial Narrow" w:cs="Tahoma"/>
                <w:b/>
                <w:bCs/>
                <w:sz w:val="20"/>
                <w:szCs w:val="17"/>
              </w:rPr>
              <w:t>Outcome Measure</w:t>
            </w:r>
          </w:p>
        </w:tc>
        <w:tc>
          <w:tcPr>
            <w:tcW w:w="3648" w:type="dxa"/>
            <w:tcBorders>
              <w:left w:val="single" w:sz="6" w:space="0" w:color="000000"/>
              <w:right w:val="single" w:sz="6" w:space="0" w:color="FFFFFF"/>
            </w:tcBorders>
            <w:shd w:val="clear" w:color="auto" w:fill="003366"/>
            <w:vAlign w:val="center"/>
          </w:tcPr>
          <w:p w:rsidR="00174ACA" w:rsidRPr="00174ACA" w:rsidRDefault="00174ACA" w:rsidP="00174ACA">
            <w:pPr>
              <w:keepLines/>
              <w:spacing w:after="0" w:line="240" w:lineRule="auto"/>
              <w:jc w:val="center"/>
              <w:rPr>
                <w:rFonts w:ascii="Arial Narrow" w:hAnsi="Arial Narrow" w:cs="Tahoma"/>
                <w:sz w:val="20"/>
                <w:szCs w:val="17"/>
              </w:rPr>
            </w:pPr>
            <w:r w:rsidRPr="00174ACA">
              <w:rPr>
                <w:rFonts w:ascii="Arial Narrow" w:hAnsi="Arial Narrow" w:cs="Tahoma"/>
                <w:b/>
                <w:bCs/>
                <w:sz w:val="20"/>
                <w:szCs w:val="17"/>
              </w:rPr>
              <w:t>Definition</w:t>
            </w:r>
          </w:p>
        </w:tc>
        <w:tc>
          <w:tcPr>
            <w:tcW w:w="3140" w:type="dxa"/>
            <w:tcBorders>
              <w:left w:val="single" w:sz="6" w:space="0" w:color="FFFFFF"/>
              <w:right w:val="single" w:sz="6" w:space="0" w:color="FFFFFF" w:themeColor="background1"/>
            </w:tcBorders>
            <w:shd w:val="clear" w:color="auto" w:fill="003366"/>
            <w:noWrap/>
            <w:vAlign w:val="center"/>
          </w:tcPr>
          <w:p w:rsidR="00174ACA" w:rsidRPr="00174ACA" w:rsidRDefault="00174ACA" w:rsidP="00174ACA">
            <w:pPr>
              <w:keepLines/>
              <w:spacing w:after="0" w:line="240" w:lineRule="auto"/>
              <w:jc w:val="center"/>
              <w:rPr>
                <w:rFonts w:ascii="Arial Narrow" w:hAnsi="Arial Narrow" w:cs="Tahoma"/>
                <w:sz w:val="20"/>
                <w:szCs w:val="17"/>
              </w:rPr>
            </w:pPr>
            <w:r w:rsidRPr="00174ACA">
              <w:rPr>
                <w:rFonts w:ascii="Arial Narrow" w:hAnsi="Arial Narrow" w:cs="Tahoma"/>
                <w:b/>
                <w:bCs/>
                <w:sz w:val="20"/>
                <w:szCs w:val="17"/>
              </w:rPr>
              <w:t>Data Grantee Reports</w:t>
            </w:r>
          </w:p>
        </w:tc>
        <w:tc>
          <w:tcPr>
            <w:tcW w:w="1964" w:type="dxa"/>
            <w:tcBorders>
              <w:left w:val="single" w:sz="6" w:space="0" w:color="FFFFFF" w:themeColor="background1"/>
            </w:tcBorders>
            <w:shd w:val="clear" w:color="auto" w:fill="003366"/>
          </w:tcPr>
          <w:p w:rsidR="00174ACA" w:rsidRPr="00174ACA" w:rsidRDefault="00174ACA" w:rsidP="00174ACA">
            <w:pPr>
              <w:keepLines/>
              <w:spacing w:after="0" w:line="240" w:lineRule="auto"/>
              <w:jc w:val="center"/>
              <w:rPr>
                <w:rFonts w:ascii="Arial Narrow" w:hAnsi="Arial Narrow" w:cs="Tahoma"/>
                <w:b/>
                <w:bCs/>
                <w:sz w:val="20"/>
                <w:szCs w:val="17"/>
              </w:rPr>
            </w:pPr>
            <w:r w:rsidRPr="00174ACA">
              <w:rPr>
                <w:rFonts w:ascii="Arial Narrow" w:hAnsi="Arial Narrow" w:cs="Tahoma"/>
                <w:b/>
                <w:bCs/>
                <w:sz w:val="20"/>
                <w:szCs w:val="17"/>
              </w:rPr>
              <w:t>Record Data Here</w:t>
            </w:r>
          </w:p>
        </w:tc>
      </w:tr>
      <w:tr w:rsidR="00174ACA" w:rsidRPr="00174ACA" w:rsidTr="009D4BB5">
        <w:trPr>
          <w:cantSplit/>
        </w:trPr>
        <w:tc>
          <w:tcPr>
            <w:tcW w:w="480"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Percent of people exhibiting an increased knowledge of the program area during the reporting period</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140" w:type="dxa"/>
          </w:tcPr>
          <w:p w:rsidR="00174ACA" w:rsidRPr="00174ACA" w:rsidRDefault="00174ACA" w:rsidP="00174ACA">
            <w:pPr>
              <w:keepLines/>
              <w:numPr>
                <w:ilvl w:val="0"/>
                <w:numId w:val="24"/>
              </w:numPr>
              <w:tabs>
                <w:tab w:val="left" w:pos="288"/>
              </w:tabs>
              <w:spacing w:after="0" w:line="240" w:lineRule="auto"/>
              <w:ind w:left="373"/>
              <w:rPr>
                <w:rFonts w:ascii="Arial Narrow" w:hAnsi="Arial Narrow" w:cs="Tahoma"/>
                <w:sz w:val="18"/>
                <w:szCs w:val="17"/>
              </w:rPr>
            </w:pPr>
            <w:r w:rsidRPr="00174ACA">
              <w:rPr>
                <w:rFonts w:ascii="Arial Narrow" w:hAnsi="Arial Narrow" w:cs="Tahoma"/>
                <w:sz w:val="18"/>
                <w:szCs w:val="17"/>
              </w:rPr>
              <w:t xml:space="preserve">Number of people exhibiting an increase in knowledge post-training. </w:t>
            </w:r>
          </w:p>
          <w:p w:rsidR="00174ACA" w:rsidRPr="00174ACA" w:rsidRDefault="00174ACA" w:rsidP="00174ACA">
            <w:pPr>
              <w:keepLines/>
              <w:numPr>
                <w:ilvl w:val="0"/>
                <w:numId w:val="24"/>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people trained during the reporting period.</w:t>
            </w:r>
          </w:p>
          <w:p w:rsidR="00174ACA" w:rsidRPr="00174ACA" w:rsidRDefault="00174ACA" w:rsidP="00174ACA">
            <w:pPr>
              <w:keepLines/>
              <w:numPr>
                <w:ilvl w:val="0"/>
                <w:numId w:val="24"/>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of people trained who exhibited increased knowledge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keepLines/>
              <w:numPr>
                <w:ilvl w:val="0"/>
                <w:numId w:val="27"/>
              </w:numPr>
              <w:spacing w:after="0" w:line="240" w:lineRule="auto"/>
              <w:jc w:val="center"/>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program policies changed, improved, or rescinded during the reporting period</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140" w:type="dxa"/>
          </w:tcPr>
          <w:p w:rsidR="00174ACA" w:rsidRPr="00174ACA" w:rsidRDefault="00174ACA" w:rsidP="00174ACA">
            <w:pPr>
              <w:keepLines/>
              <w:numPr>
                <w:ilvl w:val="0"/>
                <w:numId w:val="25"/>
              </w:numPr>
              <w:tabs>
                <w:tab w:val="left" w:pos="288"/>
              </w:tabs>
              <w:spacing w:after="0" w:line="240" w:lineRule="auto"/>
              <w:ind w:left="373"/>
              <w:rPr>
                <w:rFonts w:ascii="Arial Narrow" w:hAnsi="Arial Narrow" w:cs="Tahoma"/>
                <w:sz w:val="18"/>
                <w:szCs w:val="17"/>
              </w:rPr>
            </w:pPr>
            <w:r w:rsidRPr="00174ACA">
              <w:rPr>
                <w:rFonts w:ascii="Arial Narrow" w:hAnsi="Arial Narrow" w:cs="Tahoma"/>
                <w:sz w:val="18"/>
                <w:szCs w:val="17"/>
              </w:rPr>
              <w:t xml:space="preserve">Number of programs policies changed during the reporting period </w:t>
            </w:r>
          </w:p>
          <w:p w:rsidR="00174ACA" w:rsidRPr="00174ACA" w:rsidRDefault="00174ACA" w:rsidP="00174ACA">
            <w:pPr>
              <w:keepLines/>
              <w:numPr>
                <w:ilvl w:val="0"/>
                <w:numId w:val="25"/>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programs policies rescinded during the reporting period</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Percent of organizations reporting improvements in operations based on training and technical assistance (TTA).</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The number and percent of organizations reporting improvements in operations as a result of TTA one to six months post-service.</w:t>
            </w:r>
          </w:p>
        </w:tc>
        <w:tc>
          <w:tcPr>
            <w:tcW w:w="3140" w:type="dxa"/>
          </w:tcPr>
          <w:p w:rsidR="00174ACA" w:rsidRPr="00174ACA" w:rsidRDefault="00174ACA" w:rsidP="00174ACA">
            <w:pPr>
              <w:keepLines/>
              <w:numPr>
                <w:ilvl w:val="0"/>
                <w:numId w:val="26"/>
              </w:numPr>
              <w:tabs>
                <w:tab w:val="left" w:pos="288"/>
              </w:tabs>
              <w:spacing w:after="0" w:line="240" w:lineRule="auto"/>
              <w:ind w:left="373"/>
              <w:rPr>
                <w:rFonts w:ascii="Arial Narrow" w:hAnsi="Arial Narrow" w:cs="Tahoma"/>
                <w:sz w:val="18"/>
                <w:szCs w:val="17"/>
              </w:rPr>
            </w:pPr>
            <w:r w:rsidRPr="00174ACA">
              <w:rPr>
                <w:rFonts w:ascii="Arial Narrow" w:hAnsi="Arial Narrow" w:cs="Tahoma"/>
                <w:sz w:val="18"/>
                <w:szCs w:val="17"/>
              </w:rPr>
              <w:t>The number of organizations reporting improvements in operations as a result of TTA one to six months post-service</w:t>
            </w:r>
          </w:p>
          <w:p w:rsidR="00174ACA" w:rsidRPr="00174ACA" w:rsidRDefault="00174ACA" w:rsidP="00174ACA">
            <w:pPr>
              <w:keepLines/>
              <w:numPr>
                <w:ilvl w:val="0"/>
                <w:numId w:val="26"/>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The total number of organizations served by TTA during the reporting period</w:t>
            </w:r>
          </w:p>
          <w:p w:rsidR="00174ACA" w:rsidRPr="00174ACA" w:rsidRDefault="00174ACA" w:rsidP="00174ACA">
            <w:pPr>
              <w:keepLines/>
              <w:numPr>
                <w:ilvl w:val="0"/>
                <w:numId w:val="26"/>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of organizations reporting improvements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of interagency information requests</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Proxy for system usefulness.  Appropriate for grantees with operational information sharing programs.  Report the number of requests for information both to the grantees agency from staff at partner agencies or from the grantees agency to staff at partner agencies.</w:t>
            </w:r>
          </w:p>
        </w:tc>
        <w:tc>
          <w:tcPr>
            <w:tcW w:w="3140" w:type="dxa"/>
          </w:tcPr>
          <w:p w:rsidR="00174ACA" w:rsidRPr="00174ACA" w:rsidRDefault="00174ACA" w:rsidP="00174ACA">
            <w:pPr>
              <w:keepLines/>
              <w:numPr>
                <w:ilvl w:val="0"/>
                <w:numId w:val="1"/>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interagency information requests</w:t>
            </w:r>
          </w:p>
          <w:p w:rsidR="00174ACA" w:rsidRPr="00174ACA" w:rsidRDefault="00174ACA" w:rsidP="00174ACA">
            <w:pPr>
              <w:keepLines/>
              <w:tabs>
                <w:tab w:val="left" w:pos="288"/>
              </w:tabs>
              <w:spacing w:after="0" w:line="240" w:lineRule="auto"/>
              <w:ind w:left="288" w:hanging="288"/>
              <w:rPr>
                <w:rFonts w:ascii="Arial Narrow" w:hAnsi="Arial Narrow" w:cs="Tahoma"/>
                <w:sz w:val="18"/>
                <w:szCs w:val="17"/>
              </w:rPr>
            </w:pP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Average time in hours from information request to information receipt</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efficiency.  Appropriate for grantees with operational information sharing programs.  Report the number of hours from the time interagency information is requested to the time it is received by the requestor.  Include time for initial data receipt as well as any additional time for follow-up requests based on missing, unusable, or confusing data.</w:t>
            </w:r>
          </w:p>
        </w:tc>
        <w:tc>
          <w:tcPr>
            <w:tcW w:w="3140" w:type="dxa"/>
          </w:tcPr>
          <w:p w:rsidR="00174ACA" w:rsidRPr="00174ACA" w:rsidRDefault="00174ACA" w:rsidP="00174ACA">
            <w:pPr>
              <w:keepLines/>
              <w:numPr>
                <w:ilvl w:val="0"/>
                <w:numId w:val="2"/>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hours from request receipt to request fulfilled</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youth that are referred for similar services through different agencies or staff (i.e., redundant referrals)</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accountability.  Appropriate for grantees with operational information sharing programs.  Report the raw number of youth who receive redundant referrals (i.e., referrals for the same type of service or treatment from multiple sources or from the same agency as part of the same case). Do not include referrals for cause (e.g., a new problem arises, a new provider must be found, or the problem reoccurs). Percent is the raw number divided by the number of youth served by the grantee.</w:t>
            </w:r>
          </w:p>
        </w:tc>
        <w:tc>
          <w:tcPr>
            <w:tcW w:w="3140" w:type="dxa"/>
          </w:tcPr>
          <w:p w:rsidR="00174ACA" w:rsidRPr="00174ACA" w:rsidRDefault="00174ACA" w:rsidP="00174ACA">
            <w:pPr>
              <w:keepLines/>
              <w:numPr>
                <w:ilvl w:val="0"/>
                <w:numId w:val="3"/>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redundantly referred youth</w:t>
            </w:r>
          </w:p>
          <w:p w:rsidR="00174ACA" w:rsidRPr="00174ACA" w:rsidRDefault="00174ACA" w:rsidP="00174ACA">
            <w:pPr>
              <w:keepLines/>
              <w:numPr>
                <w:ilvl w:val="0"/>
                <w:numId w:val="3"/>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youth</w:t>
            </w:r>
          </w:p>
          <w:p w:rsidR="00174ACA" w:rsidRPr="00174ACA" w:rsidRDefault="00174ACA" w:rsidP="00174ACA">
            <w:pPr>
              <w:keepLines/>
              <w:numPr>
                <w:ilvl w:val="0"/>
                <w:numId w:val="3"/>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youth on waiting lists for treatment or service</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accountability.  Appropriate for grantees with operational information sharing programs.  Report the raw number of youth put on a waiting list for treatment or service at any point in their process through the system and for any length of time. Percent is the raw number divided by the total number of clients handled or processed by the grantee.</w:t>
            </w:r>
          </w:p>
        </w:tc>
        <w:tc>
          <w:tcPr>
            <w:tcW w:w="3140" w:type="dxa"/>
          </w:tcPr>
          <w:p w:rsidR="00174ACA" w:rsidRPr="00174ACA" w:rsidRDefault="00174ACA" w:rsidP="00174ACA">
            <w:pPr>
              <w:keepLines/>
              <w:numPr>
                <w:ilvl w:val="0"/>
                <w:numId w:val="4"/>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 xml:space="preserve"> Number of youth put on a waiting list</w:t>
            </w:r>
          </w:p>
          <w:p w:rsidR="00174ACA" w:rsidRPr="00174ACA" w:rsidRDefault="00174ACA" w:rsidP="00174ACA">
            <w:pPr>
              <w:keepLines/>
              <w:numPr>
                <w:ilvl w:val="0"/>
                <w:numId w:val="4"/>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youth</w:t>
            </w:r>
          </w:p>
          <w:p w:rsidR="00174ACA" w:rsidRPr="00174ACA" w:rsidRDefault="00174ACA" w:rsidP="00174ACA">
            <w:pPr>
              <w:keepLines/>
              <w:numPr>
                <w:ilvl w:val="0"/>
                <w:numId w:val="4"/>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days youth spend on waiting lists for treatment or service</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accountability.  Appropriate for grantees with operational information sharing programs.  Report the cumulative number of calendar days any client is on a waiting list for service or treatment.   Percent is the cumulative number of calendar days divided by the total number of days that clients were served by, or the responsibility of, the grantee.</w:t>
            </w:r>
          </w:p>
        </w:tc>
        <w:tc>
          <w:tcPr>
            <w:tcW w:w="3140" w:type="dxa"/>
          </w:tcPr>
          <w:p w:rsidR="00174ACA" w:rsidRPr="00174ACA" w:rsidRDefault="00174ACA" w:rsidP="00174ACA">
            <w:pPr>
              <w:keepLines/>
              <w:numPr>
                <w:ilvl w:val="0"/>
                <w:numId w:val="5"/>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days clients are on waiting lists</w:t>
            </w:r>
          </w:p>
          <w:p w:rsidR="00174ACA" w:rsidRPr="00174ACA" w:rsidRDefault="00174ACA" w:rsidP="00174ACA">
            <w:pPr>
              <w:keepLines/>
              <w:numPr>
                <w:ilvl w:val="0"/>
                <w:numId w:val="5"/>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days clients served by the grantee</w:t>
            </w:r>
          </w:p>
          <w:p w:rsidR="00174ACA" w:rsidRPr="00174ACA" w:rsidRDefault="00174ACA" w:rsidP="00174ACA">
            <w:pPr>
              <w:keepLines/>
              <w:numPr>
                <w:ilvl w:val="0"/>
                <w:numId w:val="5"/>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youth who cannot receive identified services (e.g., slots full, service not provided locally)</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accountability.  Appropriate for grantees with operational information sharing programs.  Report the raw number of youth who for any reason do not receive the service or treatment indicated as needed by their assessment.  Percent is the raw number divided by the number of clients served by, or the responsibility of, the grantee.</w:t>
            </w:r>
          </w:p>
        </w:tc>
        <w:tc>
          <w:tcPr>
            <w:tcW w:w="3140" w:type="dxa"/>
          </w:tcPr>
          <w:p w:rsidR="00174ACA" w:rsidRPr="00174ACA" w:rsidRDefault="00174ACA" w:rsidP="00174ACA">
            <w:pPr>
              <w:keepLines/>
              <w:numPr>
                <w:ilvl w:val="0"/>
                <w:numId w:val="6"/>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youth that did not receive treatment</w:t>
            </w:r>
          </w:p>
          <w:p w:rsidR="00174ACA" w:rsidRPr="00174ACA" w:rsidRDefault="00174ACA" w:rsidP="00174ACA">
            <w:pPr>
              <w:keepLines/>
              <w:numPr>
                <w:ilvl w:val="0"/>
                <w:numId w:val="6"/>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youth served by the grantee</w:t>
            </w:r>
          </w:p>
          <w:p w:rsidR="00174ACA" w:rsidRPr="00174ACA" w:rsidRDefault="00174ACA" w:rsidP="00174ACA">
            <w:pPr>
              <w:keepLines/>
              <w:numPr>
                <w:ilvl w:val="0"/>
                <w:numId w:val="6"/>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Percent of staff time required to access client data from outside agencies</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efficiency.  Appropriate for grantees that require client information from outside sources (e.g., school records, public health records) under this purpose area.  Report the percent of staff hours spent on gathering client data from outside entities per month.  For example, getting school attendance data or probation status.  Include time required to get data from clients that other entities may already have, but do not include time gathering unique information directly from client.</w:t>
            </w:r>
          </w:p>
        </w:tc>
        <w:tc>
          <w:tcPr>
            <w:tcW w:w="3140" w:type="dxa"/>
          </w:tcPr>
          <w:p w:rsidR="00174ACA" w:rsidRPr="00174ACA" w:rsidRDefault="00174ACA" w:rsidP="00174ACA">
            <w:pPr>
              <w:keepLines/>
              <w:numPr>
                <w:ilvl w:val="0"/>
                <w:numId w:val="7"/>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hours staff spent on gathering data per month</w:t>
            </w:r>
          </w:p>
          <w:p w:rsidR="00174ACA" w:rsidRPr="00174ACA" w:rsidRDefault="00174ACA" w:rsidP="00174ACA">
            <w:pPr>
              <w:keepLines/>
              <w:numPr>
                <w:ilvl w:val="0"/>
                <w:numId w:val="7"/>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hours staff worked per month</w:t>
            </w:r>
          </w:p>
          <w:p w:rsidR="00174ACA" w:rsidRPr="00174ACA" w:rsidRDefault="00174ACA" w:rsidP="00174ACA">
            <w:pPr>
              <w:keepLines/>
              <w:numPr>
                <w:ilvl w:val="0"/>
                <w:numId w:val="7"/>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of time spent on gathering data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youth about whom information is shared across agencies</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scope.  Appropriate for grantees with operational information sharing programs.  Report the raw number of grantee clients about whom the grantee either receives from or distributes information to partner agencies.  Percent is the raw number divided by the total number of grantee clients.</w:t>
            </w:r>
          </w:p>
        </w:tc>
        <w:tc>
          <w:tcPr>
            <w:tcW w:w="3140" w:type="dxa"/>
          </w:tcPr>
          <w:p w:rsidR="00174ACA" w:rsidRPr="00174ACA" w:rsidRDefault="00174ACA" w:rsidP="00174ACA">
            <w:pPr>
              <w:keepLines/>
              <w:numPr>
                <w:ilvl w:val="0"/>
                <w:numId w:val="8"/>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clients about whom data is shared across agencies</w:t>
            </w:r>
          </w:p>
          <w:p w:rsidR="00174ACA" w:rsidRPr="00174ACA" w:rsidRDefault="00174ACA" w:rsidP="00174ACA">
            <w:pPr>
              <w:keepLines/>
              <w:numPr>
                <w:ilvl w:val="0"/>
                <w:numId w:val="8"/>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clients served by the grantee</w:t>
            </w:r>
          </w:p>
          <w:p w:rsidR="00174ACA" w:rsidRPr="00174ACA" w:rsidRDefault="00174ACA" w:rsidP="00174ACA">
            <w:pPr>
              <w:keepLines/>
              <w:numPr>
                <w:ilvl w:val="0"/>
                <w:numId w:val="8"/>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youth to enter services or treatment to which they are referred</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accountability.  Appropriate for grantees with operational information sharing programs.  Report the raw number of youth who are referred to a service or treatment and who receive at least one session of that service or treatment.  Percent is the raw number divided by the total number of youth referred to at least one service or treatment.</w:t>
            </w:r>
          </w:p>
        </w:tc>
        <w:tc>
          <w:tcPr>
            <w:tcW w:w="3140" w:type="dxa"/>
          </w:tcPr>
          <w:p w:rsidR="00174ACA" w:rsidRPr="00174ACA" w:rsidRDefault="00174ACA" w:rsidP="00174ACA">
            <w:pPr>
              <w:keepLines/>
              <w:numPr>
                <w:ilvl w:val="0"/>
                <w:numId w:val="9"/>
              </w:numPr>
              <w:tabs>
                <w:tab w:val="left" w:pos="283"/>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youth to enter treatment or services referred to</w:t>
            </w:r>
          </w:p>
          <w:p w:rsidR="00174ACA" w:rsidRPr="00174ACA" w:rsidRDefault="00174ACA" w:rsidP="00174ACA">
            <w:pPr>
              <w:keepLines/>
              <w:numPr>
                <w:ilvl w:val="0"/>
                <w:numId w:val="9"/>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youth referred to treatment or services</w:t>
            </w:r>
          </w:p>
          <w:p w:rsidR="00174ACA" w:rsidRPr="00174ACA" w:rsidRDefault="00174ACA" w:rsidP="00174ACA">
            <w:pPr>
              <w:keepLines/>
              <w:numPr>
                <w:ilvl w:val="0"/>
                <w:numId w:val="9"/>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Number and percent of services and treatments successfully completed by youth</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youth accountability.  Appropriate for grantees with operational information sharing programs.  Report the raw number of services and treatment for which the enrolled youth successfully complete all of the requirements of that service or treatment.  Percent is the raw number divided by the total number of services or treatments in which youth are enrolled.  There may be multiple entries per youth.</w:t>
            </w:r>
          </w:p>
        </w:tc>
        <w:tc>
          <w:tcPr>
            <w:tcW w:w="3140" w:type="dxa"/>
          </w:tcPr>
          <w:p w:rsidR="00174ACA" w:rsidRPr="00174ACA" w:rsidRDefault="00174ACA" w:rsidP="00174ACA">
            <w:pPr>
              <w:keepLines/>
              <w:numPr>
                <w:ilvl w:val="0"/>
                <w:numId w:val="10"/>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treatments/services successfully completed</w:t>
            </w:r>
          </w:p>
          <w:p w:rsidR="00174ACA" w:rsidRPr="00174ACA" w:rsidRDefault="00174ACA" w:rsidP="00174ACA">
            <w:pPr>
              <w:keepLines/>
              <w:numPr>
                <w:ilvl w:val="0"/>
                <w:numId w:val="10"/>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Number of treatments or services in which youth are enrolled</w:t>
            </w:r>
          </w:p>
          <w:p w:rsidR="00174ACA" w:rsidRPr="00174ACA" w:rsidRDefault="00174ACA" w:rsidP="00174ACA">
            <w:pPr>
              <w:keepLines/>
              <w:numPr>
                <w:ilvl w:val="0"/>
                <w:numId w:val="10"/>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Percent (A/B)</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r w:rsidR="00174ACA" w:rsidRPr="00174ACA" w:rsidTr="009D4BB5">
        <w:trPr>
          <w:cantSplit/>
        </w:trPr>
        <w:tc>
          <w:tcPr>
            <w:tcW w:w="480" w:type="dxa"/>
          </w:tcPr>
          <w:p w:rsidR="00174ACA" w:rsidRPr="00D9289E" w:rsidRDefault="00174ACA" w:rsidP="00D9289E">
            <w:pPr>
              <w:pStyle w:val="ListParagraph"/>
              <w:numPr>
                <w:ilvl w:val="0"/>
                <w:numId w:val="27"/>
              </w:numPr>
              <w:spacing w:after="0" w:line="240" w:lineRule="auto"/>
              <w:rPr>
                <w:rFonts w:ascii="Arial Narrow" w:hAnsi="Arial Narrow" w:cs="Tahoma"/>
                <w:sz w:val="18"/>
                <w:szCs w:val="17"/>
              </w:rPr>
            </w:pPr>
          </w:p>
        </w:tc>
        <w:tc>
          <w:tcPr>
            <w:tcW w:w="2033" w:type="dxa"/>
          </w:tcPr>
          <w:p w:rsidR="00174ACA" w:rsidRPr="00174ACA" w:rsidRDefault="00174ACA" w:rsidP="00174ACA">
            <w:pPr>
              <w:keepLines/>
              <w:spacing w:after="0" w:line="240" w:lineRule="auto"/>
              <w:rPr>
                <w:rFonts w:ascii="Arial Narrow" w:hAnsi="Arial Narrow" w:cs="Tahoma"/>
                <w:bCs/>
                <w:sz w:val="18"/>
                <w:szCs w:val="17"/>
              </w:rPr>
            </w:pPr>
            <w:r w:rsidRPr="00174ACA">
              <w:rPr>
                <w:rFonts w:ascii="Arial Narrow" w:hAnsi="Arial Narrow" w:cs="Tahoma"/>
                <w:bCs/>
                <w:sz w:val="18"/>
                <w:szCs w:val="17"/>
              </w:rPr>
              <w:t>Average time to service (days)</w:t>
            </w:r>
          </w:p>
        </w:tc>
        <w:tc>
          <w:tcPr>
            <w:tcW w:w="3648" w:type="dxa"/>
          </w:tcPr>
          <w:p w:rsidR="00174ACA" w:rsidRPr="00174ACA" w:rsidRDefault="00174ACA" w:rsidP="00174ACA">
            <w:pPr>
              <w:keepLines/>
              <w:spacing w:after="0" w:line="240" w:lineRule="auto"/>
              <w:rPr>
                <w:rFonts w:ascii="Arial Narrow" w:hAnsi="Arial Narrow" w:cs="Tahoma"/>
                <w:sz w:val="18"/>
                <w:szCs w:val="17"/>
              </w:rPr>
            </w:pPr>
            <w:r w:rsidRPr="00174ACA">
              <w:rPr>
                <w:rFonts w:ascii="Arial Narrow" w:hAnsi="Arial Narrow" w:cs="Tahoma"/>
                <w:sz w:val="18"/>
                <w:szCs w:val="17"/>
              </w:rPr>
              <w:t>Measure of system accountability.  Appropriate for grantees with operational information sharing programs.  Report the average number of days from the time a client is assessed as needing a service to the first receipt of that service.  There may be multiple entries per youth.</w:t>
            </w:r>
          </w:p>
        </w:tc>
        <w:tc>
          <w:tcPr>
            <w:tcW w:w="3140" w:type="dxa"/>
          </w:tcPr>
          <w:p w:rsidR="00174ACA" w:rsidRPr="00174ACA" w:rsidRDefault="00174ACA" w:rsidP="00174ACA">
            <w:pPr>
              <w:keepLines/>
              <w:numPr>
                <w:ilvl w:val="0"/>
                <w:numId w:val="11"/>
              </w:numPr>
              <w:tabs>
                <w:tab w:val="left" w:pos="288"/>
              </w:tabs>
              <w:spacing w:after="0" w:line="240" w:lineRule="auto"/>
              <w:ind w:left="288" w:hanging="288"/>
              <w:rPr>
                <w:rFonts w:ascii="Arial Narrow" w:hAnsi="Arial Narrow" w:cs="Tahoma"/>
                <w:sz w:val="18"/>
                <w:szCs w:val="17"/>
              </w:rPr>
            </w:pPr>
            <w:r w:rsidRPr="00174ACA">
              <w:rPr>
                <w:rFonts w:ascii="Arial Narrow" w:hAnsi="Arial Narrow" w:cs="Tahoma"/>
                <w:sz w:val="18"/>
                <w:szCs w:val="17"/>
              </w:rPr>
              <w:t>Average number of days from assessment to first service</w:t>
            </w:r>
          </w:p>
        </w:tc>
        <w:tc>
          <w:tcPr>
            <w:tcW w:w="1964" w:type="dxa"/>
          </w:tcPr>
          <w:p w:rsidR="00174ACA" w:rsidRPr="00174ACA" w:rsidRDefault="00174ACA" w:rsidP="00174ACA">
            <w:pPr>
              <w:keepLines/>
              <w:spacing w:after="0" w:line="240" w:lineRule="auto"/>
              <w:ind w:left="720"/>
              <w:rPr>
                <w:rFonts w:ascii="Arial Narrow" w:hAnsi="Arial Narrow" w:cs="Tahoma"/>
                <w:sz w:val="18"/>
                <w:szCs w:val="17"/>
              </w:rPr>
            </w:pPr>
          </w:p>
        </w:tc>
      </w:tr>
    </w:tbl>
    <w:p w:rsidR="00AA4FBE" w:rsidRDefault="00AA4FBE"/>
    <w:sectPr w:rsidR="00AA4FBE" w:rsidSect="00174ACA">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20B" w:rsidRDefault="0094520B" w:rsidP="00174ACA">
      <w:pPr>
        <w:spacing w:after="0" w:line="240" w:lineRule="auto"/>
      </w:pPr>
      <w:r>
        <w:separator/>
      </w:r>
    </w:p>
  </w:endnote>
  <w:endnote w:type="continuationSeparator" w:id="0">
    <w:p w:rsidR="0094520B" w:rsidRDefault="0094520B" w:rsidP="0017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174ACA" w:rsidRPr="00174ACA" w:rsidRDefault="00174ACA" w:rsidP="00174ACA">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Information Sharing</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D9289E">
          <w:rPr>
            <w:rFonts w:ascii="Arial Narrow" w:hAnsi="Arial Narrow" w:cs="Arial"/>
            <w:noProof/>
          </w:rPr>
          <w:t>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20B" w:rsidRDefault="0094520B" w:rsidP="00174ACA">
      <w:pPr>
        <w:spacing w:after="0" w:line="240" w:lineRule="auto"/>
      </w:pPr>
      <w:r>
        <w:separator/>
      </w:r>
    </w:p>
  </w:footnote>
  <w:footnote w:type="continuationSeparator" w:id="0">
    <w:p w:rsidR="0094520B" w:rsidRDefault="0094520B" w:rsidP="00174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CA" w:rsidRPr="00174ACA" w:rsidRDefault="00174ACA" w:rsidP="00174ACA">
    <w:pPr>
      <w:keepNext/>
      <w:spacing w:after="0" w:line="240" w:lineRule="auto"/>
      <w:jc w:val="center"/>
      <w:outlineLvl w:val="0"/>
      <w:rPr>
        <w:rFonts w:ascii="Arial Bold" w:eastAsia="Times New Roman" w:hAnsi="Arial Bold" w:cs="Times New Roman"/>
        <w:caps/>
        <w:kern w:val="28"/>
        <w:sz w:val="24"/>
        <w:szCs w:val="24"/>
      </w:rPr>
    </w:pPr>
    <w:r w:rsidRPr="00174ACA">
      <w:rPr>
        <w:rFonts w:ascii="Arial Bold" w:eastAsia="Times New Roman" w:hAnsi="Arial Bold" w:cs="Times New Roman"/>
        <w:caps/>
        <w:kern w:val="28"/>
        <w:sz w:val="24"/>
        <w:szCs w:val="24"/>
      </w:rPr>
      <w:t xml:space="preserve">OFFICE OF JUVENILE JUSTICE AND DELINQUENCY PREVENTION </w:t>
    </w:r>
  </w:p>
  <w:p w:rsidR="00174ACA" w:rsidRPr="00174ACA" w:rsidRDefault="00174ACA" w:rsidP="00174ACA">
    <w:pPr>
      <w:keepNext/>
      <w:spacing w:before="100" w:after="100" w:line="240" w:lineRule="auto"/>
      <w:jc w:val="center"/>
      <w:outlineLvl w:val="0"/>
      <w:rPr>
        <w:rFonts w:ascii="Arial Bold" w:eastAsia="Times New Roman" w:hAnsi="Arial Bold" w:cs="Times New Roman"/>
        <w:caps/>
        <w:color w:val="003366"/>
        <w:kern w:val="28"/>
        <w:sz w:val="24"/>
        <w:szCs w:val="24"/>
      </w:rPr>
    </w:pPr>
    <w:r w:rsidRPr="00174ACA">
      <w:rPr>
        <w:rFonts w:ascii="Arial Bold" w:eastAsia="Times New Roman" w:hAnsi="Arial Bold" w:cs="Times New Roman"/>
        <w:caps/>
        <w:color w:val="003366"/>
        <w:kern w:val="28"/>
        <w:sz w:val="24"/>
        <w:szCs w:val="24"/>
      </w:rPr>
      <w:t>Juvenile Accountability Block Grant Program</w:t>
    </w:r>
  </w:p>
  <w:p w:rsidR="00C2205D" w:rsidRPr="00174ACA" w:rsidRDefault="00174ACA" w:rsidP="00174ACA">
    <w:pPr>
      <w:keepNext/>
      <w:spacing w:before="240" w:after="240" w:line="240" w:lineRule="auto"/>
      <w:jc w:val="center"/>
      <w:outlineLvl w:val="0"/>
      <w:rPr>
        <w:rFonts w:ascii="Arial Bold" w:eastAsia="Times New Roman" w:hAnsi="Arial Bold" w:cs="Times New Roman"/>
        <w:b/>
        <w:caps/>
        <w:kern w:val="28"/>
      </w:rPr>
    </w:pPr>
    <w:r w:rsidRPr="00174ACA">
      <w:rPr>
        <w:rFonts w:ascii="Arial Bold" w:eastAsia="Times New Roman" w:hAnsi="Arial Bold" w:cs="Times New Roman"/>
        <w:b/>
        <w:caps/>
        <w:kern w:val="28"/>
      </w:rPr>
      <w:t xml:space="preserve">PURPOSE Area: </w:t>
    </w:r>
    <w:r w:rsidRPr="00174ACA">
      <w:rPr>
        <w:rFonts w:ascii="Arial Bold" w:eastAsia="Times New Roman" w:hAnsi="Arial Bold" w:cs="Times New Roman"/>
        <w:b/>
        <w:caps/>
        <w:color w:val="003366"/>
        <w:kern w:val="28"/>
      </w:rPr>
      <w:t>Information Sharing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27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3010"/>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E060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3411F"/>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B7EE4"/>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630A0"/>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63169"/>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25E89"/>
    <w:multiLevelType w:val="hybridMultilevel"/>
    <w:tmpl w:val="77D23C40"/>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57B92"/>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86273"/>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409E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5451F"/>
    <w:multiLevelType w:val="hybridMultilevel"/>
    <w:tmpl w:val="01BAA094"/>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FC693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E14D8"/>
    <w:multiLevelType w:val="hybridMultilevel"/>
    <w:tmpl w:val="0D08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45D6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547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863D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43BE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9BB"/>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C51A9"/>
    <w:multiLevelType w:val="hybridMultilevel"/>
    <w:tmpl w:val="E99C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24F61"/>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C34AD"/>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8039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F2B40"/>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E2C55"/>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C0F2B"/>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0723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56E2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1"/>
  </w:num>
  <w:num w:numId="4">
    <w:abstractNumId w:val="14"/>
  </w:num>
  <w:num w:numId="5">
    <w:abstractNumId w:val="0"/>
  </w:num>
  <w:num w:numId="6">
    <w:abstractNumId w:val="27"/>
  </w:num>
  <w:num w:numId="7">
    <w:abstractNumId w:val="15"/>
  </w:num>
  <w:num w:numId="8">
    <w:abstractNumId w:val="10"/>
  </w:num>
  <w:num w:numId="9">
    <w:abstractNumId w:val="17"/>
  </w:num>
  <w:num w:numId="10">
    <w:abstractNumId w:val="26"/>
  </w:num>
  <w:num w:numId="11">
    <w:abstractNumId w:val="2"/>
  </w:num>
  <w:num w:numId="12">
    <w:abstractNumId w:val="24"/>
  </w:num>
  <w:num w:numId="13">
    <w:abstractNumId w:val="8"/>
  </w:num>
  <w:num w:numId="14">
    <w:abstractNumId w:val="9"/>
  </w:num>
  <w:num w:numId="15">
    <w:abstractNumId w:val="4"/>
  </w:num>
  <w:num w:numId="16">
    <w:abstractNumId w:val="20"/>
  </w:num>
  <w:num w:numId="17">
    <w:abstractNumId w:val="23"/>
  </w:num>
  <w:num w:numId="18">
    <w:abstractNumId w:val="6"/>
  </w:num>
  <w:num w:numId="19">
    <w:abstractNumId w:val="5"/>
  </w:num>
  <w:num w:numId="20">
    <w:abstractNumId w:val="18"/>
  </w:num>
  <w:num w:numId="21">
    <w:abstractNumId w:val="25"/>
  </w:num>
  <w:num w:numId="22">
    <w:abstractNumId w:val="13"/>
  </w:num>
  <w:num w:numId="23">
    <w:abstractNumId w:val="19"/>
  </w:num>
  <w:num w:numId="24">
    <w:abstractNumId w:val="21"/>
  </w:num>
  <w:num w:numId="25">
    <w:abstractNumId w:val="3"/>
  </w:num>
  <w:num w:numId="26">
    <w:abstractNumId w:val="16"/>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CA"/>
    <w:rsid w:val="00174ACA"/>
    <w:rsid w:val="0094520B"/>
    <w:rsid w:val="00AA4FBE"/>
    <w:rsid w:val="00B1062E"/>
    <w:rsid w:val="00BE5EF3"/>
    <w:rsid w:val="00D9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5FDF6EB-0654-4E89-95F9-9220D75A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A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74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CA"/>
  </w:style>
  <w:style w:type="paragraph" w:styleId="Footer">
    <w:name w:val="footer"/>
    <w:basedOn w:val="Normal"/>
    <w:link w:val="FooterChar"/>
    <w:uiPriority w:val="99"/>
    <w:unhideWhenUsed/>
    <w:rsid w:val="00174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ACA"/>
  </w:style>
  <w:style w:type="paragraph" w:styleId="NoSpacing">
    <w:name w:val="No Spacing"/>
    <w:uiPriority w:val="1"/>
    <w:qFormat/>
    <w:rsid w:val="00174ACA"/>
    <w:pPr>
      <w:spacing w:after="0" w:line="240" w:lineRule="auto"/>
    </w:pPr>
  </w:style>
  <w:style w:type="paragraph" w:styleId="ListParagraph">
    <w:name w:val="List Paragraph"/>
    <w:basedOn w:val="Normal"/>
    <w:uiPriority w:val="34"/>
    <w:qFormat/>
    <w:rsid w:val="00D92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2021-07-23T12:49:00Z</dcterms:created>
  <dcterms:modified xsi:type="dcterms:W3CDTF">2021-07-23T12:49:00Z</dcterms:modified>
</cp:coreProperties>
</file>