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6E6" w:rsidRPr="007536E6" w:rsidRDefault="007536E6" w:rsidP="007536E6">
      <w:pPr>
        <w:spacing w:after="0" w:line="240" w:lineRule="auto"/>
        <w:contextualSpacing/>
        <w:mirrorIndents/>
        <w:jc w:val="center"/>
        <w:rPr>
          <w:rFonts w:ascii="Arial Narrow" w:hAnsi="Arial Narrow"/>
          <w:sz w:val="18"/>
          <w:szCs w:val="18"/>
        </w:rPr>
      </w:pPr>
      <w:bookmarkStart w:id="0" w:name="_GoBack"/>
      <w:bookmarkEnd w:id="0"/>
      <w:r w:rsidRPr="007536E6">
        <w:rPr>
          <w:rFonts w:ascii="Arial Narrow" w:hAnsi="Arial Narrow" w:cs="Tahoma"/>
          <w:b/>
          <w:bCs/>
          <w:color w:val="FF0000"/>
          <w:sz w:val="18"/>
          <w:szCs w:val="18"/>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79"/>
        <w:gridCol w:w="2216"/>
        <w:gridCol w:w="3813"/>
        <w:gridCol w:w="2754"/>
        <w:gridCol w:w="1688"/>
      </w:tblGrid>
      <w:tr w:rsidR="007536E6" w:rsidRPr="007536E6" w:rsidTr="009D4BB5">
        <w:trPr>
          <w:cantSplit/>
          <w:tblHeader/>
        </w:trPr>
        <w:tc>
          <w:tcPr>
            <w:tcW w:w="498" w:type="dxa"/>
            <w:tcBorders>
              <w:right w:val="single" w:sz="6" w:space="0" w:color="FFFFFF"/>
            </w:tcBorders>
            <w:shd w:val="clear" w:color="auto" w:fill="003366"/>
            <w:vAlign w:val="center"/>
          </w:tcPr>
          <w:p w:rsidR="007536E6" w:rsidRPr="007536E6" w:rsidRDefault="007536E6" w:rsidP="007536E6">
            <w:pPr>
              <w:keepLines/>
              <w:spacing w:after="0" w:line="240" w:lineRule="auto"/>
              <w:jc w:val="center"/>
              <w:rPr>
                <w:rFonts w:ascii="Arial Narrow" w:hAnsi="Arial Narrow" w:cs="Tahoma"/>
                <w:b/>
                <w:sz w:val="20"/>
                <w:szCs w:val="17"/>
              </w:rPr>
            </w:pPr>
            <w:r w:rsidRPr="007536E6">
              <w:rPr>
                <w:rFonts w:ascii="Arial Narrow" w:hAnsi="Arial Narrow" w:cs="Tahoma"/>
                <w:b/>
                <w:sz w:val="20"/>
                <w:szCs w:val="17"/>
              </w:rPr>
              <w:t>#</w:t>
            </w:r>
          </w:p>
        </w:tc>
        <w:tc>
          <w:tcPr>
            <w:tcW w:w="2292" w:type="dxa"/>
            <w:tcBorders>
              <w:left w:val="single" w:sz="6" w:space="0" w:color="FFFFFF"/>
              <w:right w:val="single" w:sz="6" w:space="0" w:color="FFFFFF"/>
            </w:tcBorders>
            <w:shd w:val="clear" w:color="auto" w:fill="003366"/>
            <w:vAlign w:val="center"/>
          </w:tcPr>
          <w:p w:rsidR="007536E6" w:rsidRPr="007536E6" w:rsidRDefault="007536E6" w:rsidP="007536E6">
            <w:pPr>
              <w:keepLines/>
              <w:spacing w:after="0" w:line="240" w:lineRule="auto"/>
              <w:jc w:val="center"/>
              <w:rPr>
                <w:rFonts w:ascii="Arial Narrow" w:hAnsi="Arial Narrow" w:cs="Tahoma"/>
                <w:sz w:val="20"/>
                <w:szCs w:val="17"/>
              </w:rPr>
            </w:pPr>
            <w:r w:rsidRPr="007536E6">
              <w:rPr>
                <w:rFonts w:ascii="Arial Narrow" w:hAnsi="Arial Narrow" w:cs="Tahoma"/>
                <w:b/>
                <w:bCs/>
                <w:sz w:val="20"/>
                <w:szCs w:val="17"/>
              </w:rPr>
              <w:t>Output Measure</w:t>
            </w:r>
          </w:p>
        </w:tc>
        <w:tc>
          <w:tcPr>
            <w:tcW w:w="4029" w:type="dxa"/>
            <w:tcBorders>
              <w:left w:val="single" w:sz="6" w:space="0" w:color="FFFFFF"/>
              <w:right w:val="single" w:sz="6" w:space="0" w:color="FFFFFF"/>
            </w:tcBorders>
            <w:shd w:val="clear" w:color="auto" w:fill="003366"/>
            <w:vAlign w:val="center"/>
          </w:tcPr>
          <w:p w:rsidR="007536E6" w:rsidRPr="007536E6" w:rsidRDefault="007536E6" w:rsidP="007536E6">
            <w:pPr>
              <w:keepLines/>
              <w:spacing w:after="0" w:line="240" w:lineRule="auto"/>
              <w:jc w:val="center"/>
              <w:rPr>
                <w:rFonts w:ascii="Arial Narrow" w:hAnsi="Arial Narrow" w:cs="Tahoma"/>
                <w:sz w:val="20"/>
                <w:szCs w:val="17"/>
              </w:rPr>
            </w:pPr>
            <w:r w:rsidRPr="007536E6">
              <w:rPr>
                <w:rFonts w:ascii="Arial Narrow" w:hAnsi="Arial Narrow" w:cs="Tahoma"/>
                <w:b/>
                <w:bCs/>
                <w:sz w:val="20"/>
                <w:szCs w:val="17"/>
              </w:rPr>
              <w:t>Definition</w:t>
            </w:r>
          </w:p>
        </w:tc>
        <w:tc>
          <w:tcPr>
            <w:tcW w:w="2754" w:type="dxa"/>
            <w:tcBorders>
              <w:left w:val="single" w:sz="6" w:space="0" w:color="FFFFFF"/>
            </w:tcBorders>
            <w:shd w:val="clear" w:color="auto" w:fill="003366"/>
            <w:noWrap/>
            <w:vAlign w:val="center"/>
          </w:tcPr>
          <w:p w:rsidR="007536E6" w:rsidRPr="007536E6" w:rsidRDefault="007536E6" w:rsidP="007536E6">
            <w:pPr>
              <w:keepLines/>
              <w:spacing w:after="0" w:line="240" w:lineRule="auto"/>
              <w:jc w:val="center"/>
              <w:rPr>
                <w:rFonts w:ascii="Arial Narrow" w:hAnsi="Arial Narrow" w:cs="Tahoma"/>
                <w:sz w:val="20"/>
                <w:szCs w:val="17"/>
              </w:rPr>
            </w:pPr>
            <w:r w:rsidRPr="007536E6">
              <w:rPr>
                <w:rFonts w:ascii="Arial Narrow" w:hAnsi="Arial Narrow" w:cs="Tahoma"/>
                <w:b/>
                <w:sz w:val="20"/>
                <w:szCs w:val="17"/>
              </w:rPr>
              <w:t>Data Grantee Reports</w:t>
            </w:r>
          </w:p>
        </w:tc>
        <w:tc>
          <w:tcPr>
            <w:tcW w:w="1767" w:type="dxa"/>
            <w:tcBorders>
              <w:left w:val="single" w:sz="6" w:space="0" w:color="FFFFFF"/>
            </w:tcBorders>
            <w:shd w:val="clear" w:color="auto" w:fill="003366"/>
          </w:tcPr>
          <w:p w:rsidR="007536E6" w:rsidRPr="007536E6" w:rsidRDefault="007536E6" w:rsidP="007536E6">
            <w:pPr>
              <w:keepLines/>
              <w:spacing w:after="0" w:line="240" w:lineRule="auto"/>
              <w:jc w:val="center"/>
              <w:rPr>
                <w:rFonts w:ascii="Arial Narrow" w:hAnsi="Arial Narrow" w:cs="Tahoma"/>
                <w:b/>
                <w:sz w:val="20"/>
                <w:szCs w:val="17"/>
              </w:rPr>
            </w:pPr>
            <w:r w:rsidRPr="007536E6">
              <w:rPr>
                <w:rFonts w:ascii="Arial Narrow" w:hAnsi="Arial Narrow" w:cs="Tahoma"/>
                <w:b/>
                <w:sz w:val="20"/>
                <w:szCs w:val="17"/>
              </w:rPr>
              <w:t>Record Data Here</w:t>
            </w:r>
          </w:p>
        </w:tc>
      </w:tr>
      <w:tr w:rsidR="007536E6" w:rsidRPr="007536E6" w:rsidTr="009D4BB5">
        <w:trPr>
          <w:cantSplit/>
          <w:trHeight w:val="1530"/>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
                <w:bCs/>
                <w:sz w:val="18"/>
                <w:szCs w:val="17"/>
              </w:rPr>
            </w:pPr>
            <w:r w:rsidRPr="007536E6">
              <w:rPr>
                <w:rFonts w:ascii="Arial Narrow" w:hAnsi="Arial Narrow" w:cs="Tahoma"/>
                <w:b/>
                <w:bCs/>
                <w:sz w:val="18"/>
                <w:szCs w:val="17"/>
              </w:rPr>
              <w:t>Amount of JABG/Tribal JADG funds awarded for system improvement</w:t>
            </w:r>
          </w:p>
          <w:p w:rsidR="007536E6" w:rsidRPr="007536E6" w:rsidRDefault="007536E6" w:rsidP="007536E6">
            <w:pPr>
              <w:keepLines/>
              <w:spacing w:after="0" w:line="240" w:lineRule="auto"/>
              <w:rPr>
                <w:rFonts w:ascii="Arial Narrow" w:hAnsi="Arial Narrow" w:cs="Tahoma"/>
                <w:b/>
                <w:bCs/>
                <w:sz w:val="18"/>
                <w:szCs w:val="17"/>
              </w:rPr>
            </w:pPr>
          </w:p>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(Mandatory for System Improvement only)</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2754" w:type="dxa"/>
          </w:tcPr>
          <w:p w:rsidR="007536E6" w:rsidRPr="007536E6" w:rsidRDefault="007536E6" w:rsidP="007536E6">
            <w:pPr>
              <w:keepLines/>
              <w:numPr>
                <w:ilvl w:val="0"/>
                <w:numId w:val="1"/>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Funds awarded to program for services</w:t>
            </w:r>
          </w:p>
        </w:tc>
        <w:tc>
          <w:tcPr>
            <w:tcW w:w="1767" w:type="dxa"/>
          </w:tcPr>
          <w:p w:rsidR="007536E6" w:rsidRPr="007536E6" w:rsidRDefault="007536E6" w:rsidP="007536E6">
            <w:pPr>
              <w:keepLines/>
              <w:spacing w:after="0" w:line="240" w:lineRule="auto"/>
              <w:rPr>
                <w:rFonts w:ascii="Arial Narrow" w:hAnsi="Arial Narrow" w:cs="Tahoma"/>
                <w:b/>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graduated sanctions policies instituted</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level of program development.  Most appropriate for sites that are developing graduated sanctions and may have developed program guidelines or policies but not yet implemented the program fully.  Report the raw number of graduated sanctions policies developed by the grantee site.</w:t>
            </w:r>
          </w:p>
        </w:tc>
        <w:tc>
          <w:tcPr>
            <w:tcW w:w="2754" w:type="dxa"/>
          </w:tcPr>
          <w:p w:rsidR="007536E6" w:rsidRPr="007536E6" w:rsidRDefault="007536E6" w:rsidP="007536E6">
            <w:pPr>
              <w:keepLines/>
              <w:numPr>
                <w:ilvl w:val="0"/>
                <w:numId w:val="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graduated sanctions policies</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juvenile justice units that are implementing graduated sanctions programs</w:t>
            </w:r>
          </w:p>
          <w:p w:rsidR="007536E6" w:rsidRPr="007536E6" w:rsidRDefault="007536E6" w:rsidP="007536E6">
            <w:pPr>
              <w:keepLines/>
              <w:spacing w:after="0" w:line="240" w:lineRule="auto"/>
              <w:rPr>
                <w:rFonts w:ascii="Arial Narrow" w:hAnsi="Arial Narrow" w:cs="Tahoma"/>
                <w:bCs/>
                <w:sz w:val="18"/>
                <w:szCs w:val="17"/>
              </w:rPr>
            </w:pP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coverage of the graduated sanctions approach within the local juvenile justice system.  Most appropriate for projects run through local units of government or tribal equivalent. Report the number of units within the local juvenile justice system that are implementing, or in the process of implementing, graduated sanctions programs in the process? Includes things like training staff on graduated sanctions, developing policies on the use of graduated sanctions, or developing sub-contracts with service providers in anticipation of program.</w:t>
            </w:r>
          </w:p>
        </w:tc>
        <w:tc>
          <w:tcPr>
            <w:tcW w:w="2754" w:type="dxa"/>
          </w:tcPr>
          <w:p w:rsidR="007536E6" w:rsidRPr="007536E6" w:rsidRDefault="007536E6" w:rsidP="007536E6">
            <w:pPr>
              <w:keepLines/>
              <w:numPr>
                <w:ilvl w:val="0"/>
                <w:numId w:val="3"/>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units implementing graduated sanctions programs</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and percent of programs using graduated sanctions</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coverage of graduated sanction approaches within an agency or juvenile justice unit.  Most appropriate for grantees that run more than one program for juvenile offenders.  Report the raw number of different graduated sanctions programs implemented. Percent is raw number divided by the total number of programs run by the grantee.</w:t>
            </w:r>
          </w:p>
        </w:tc>
        <w:tc>
          <w:tcPr>
            <w:tcW w:w="2754" w:type="dxa"/>
          </w:tcPr>
          <w:p w:rsidR="007536E6" w:rsidRPr="007536E6" w:rsidRDefault="007536E6" w:rsidP="007536E6">
            <w:pPr>
              <w:keepLines/>
              <w:numPr>
                <w:ilvl w:val="0"/>
                <w:numId w:val="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different graduated sanctions programs implemented</w:t>
            </w:r>
          </w:p>
          <w:p w:rsidR="007536E6" w:rsidRPr="007536E6" w:rsidRDefault="007536E6" w:rsidP="007536E6">
            <w:pPr>
              <w:keepLines/>
              <w:numPr>
                <w:ilvl w:val="0"/>
                <w:numId w:val="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Total number of programs run by the grantee</w:t>
            </w:r>
          </w:p>
          <w:p w:rsidR="007536E6" w:rsidRPr="007536E6" w:rsidRDefault="007536E6" w:rsidP="007536E6">
            <w:pPr>
              <w:keepLines/>
              <w:numPr>
                <w:ilvl w:val="0"/>
                <w:numId w:val="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supervision meetings per youth in graduated sanctions programs</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whether graduated sanctions are being used as intended with the frequent use of supervision meetings.  This measures system accountability.  Appropriate for all programs implementing graduated sanctions programs.  Report the total number of supervision meetings held with youth divided by the number of youth served through graduated sanctions programs during the reporting period.  Meetings are not limited to face-to-face contact but may include other forms of contact with youth such as telephone calls.</w:t>
            </w:r>
          </w:p>
        </w:tc>
        <w:tc>
          <w:tcPr>
            <w:tcW w:w="2754" w:type="dxa"/>
          </w:tcPr>
          <w:p w:rsidR="007536E6" w:rsidRPr="007536E6" w:rsidRDefault="007536E6" w:rsidP="007536E6">
            <w:pPr>
              <w:keepLines/>
              <w:numPr>
                <w:ilvl w:val="0"/>
                <w:numId w:val="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supervision meetings held</w:t>
            </w:r>
          </w:p>
          <w:p w:rsidR="007536E6" w:rsidRPr="007536E6" w:rsidRDefault="007536E6" w:rsidP="007536E6">
            <w:pPr>
              <w:keepLines/>
              <w:numPr>
                <w:ilvl w:val="0"/>
                <w:numId w:val="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served</w:t>
            </w:r>
          </w:p>
          <w:p w:rsidR="007536E6" w:rsidRPr="007536E6" w:rsidRDefault="007536E6" w:rsidP="007536E6">
            <w:pPr>
              <w:keepLines/>
              <w:numPr>
                <w:ilvl w:val="0"/>
                <w:numId w:val="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meetings per youth in graduated sanctions</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and percent of youth who had a behavioral contract developed when they entered a program that was part of a graduated sanctions approach</w:t>
            </w:r>
          </w:p>
        </w:tc>
        <w:tc>
          <w:tcPr>
            <w:tcW w:w="4029" w:type="dxa"/>
          </w:tcPr>
          <w:p w:rsidR="007536E6" w:rsidRPr="007536E6" w:rsidRDefault="007536E6" w:rsidP="007536E6">
            <w:pPr>
              <w:keepLines/>
              <w:spacing w:after="0" w:line="240" w:lineRule="auto"/>
              <w:rPr>
                <w:rFonts w:ascii="Arial Narrow" w:hAnsi="Arial Narrow"/>
                <w:sz w:val="18"/>
              </w:rPr>
            </w:pPr>
            <w:r w:rsidRPr="007536E6">
              <w:rPr>
                <w:rFonts w:ascii="Arial Narrow" w:hAnsi="Arial Narrow" w:cs="Tahoma"/>
                <w:sz w:val="18"/>
                <w:szCs w:val="17"/>
              </w:rPr>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the raw number of youth with a contract developed at intake divided by the total number of youth to enter the graduated sanctions program.</w:t>
            </w:r>
          </w:p>
        </w:tc>
        <w:tc>
          <w:tcPr>
            <w:tcW w:w="2754" w:type="dxa"/>
          </w:tcPr>
          <w:p w:rsidR="007536E6" w:rsidRPr="007536E6" w:rsidRDefault="007536E6" w:rsidP="007536E6">
            <w:pPr>
              <w:keepLines/>
              <w:numPr>
                <w:ilvl w:val="0"/>
                <w:numId w:val="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with a behavioral contract developed when they entered the program</w:t>
            </w:r>
          </w:p>
          <w:p w:rsidR="007536E6" w:rsidRPr="007536E6" w:rsidRDefault="007536E6" w:rsidP="007536E6">
            <w:pPr>
              <w:keepLines/>
              <w:numPr>
                <w:ilvl w:val="0"/>
                <w:numId w:val="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to enter the program</w:t>
            </w:r>
          </w:p>
          <w:p w:rsidR="007536E6" w:rsidRPr="007536E6" w:rsidRDefault="007536E6" w:rsidP="007536E6">
            <w:pPr>
              <w:keepLines/>
              <w:numPr>
                <w:ilvl w:val="0"/>
                <w:numId w:val="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 xml:space="preserve">Number of sanctioning options available at each level (immediate, intermediate, secure care, and aftercare/reentry) </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coverage of the graduated sanctions approach within the local juvenile justice system.  Most appropriate for projects responsible for justice supervision of youth (e.g., courts, probation departments, detention facilities).  Report raw number of different sanctioning options by level.  Different implies that the options either employ different techniques or activities, target different populations, or have different goals.</w:t>
            </w:r>
          </w:p>
        </w:tc>
        <w:tc>
          <w:tcPr>
            <w:tcW w:w="2754" w:type="dxa"/>
          </w:tcPr>
          <w:p w:rsidR="007536E6" w:rsidRPr="007536E6" w:rsidRDefault="007536E6" w:rsidP="007536E6">
            <w:pPr>
              <w:keepLines/>
              <w:numPr>
                <w:ilvl w:val="0"/>
                <w:numId w:val="7"/>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different immediate sanctioning options</w:t>
            </w:r>
          </w:p>
          <w:p w:rsidR="007536E6" w:rsidRPr="007536E6" w:rsidRDefault="007536E6" w:rsidP="007536E6">
            <w:pPr>
              <w:keepLines/>
              <w:numPr>
                <w:ilvl w:val="0"/>
                <w:numId w:val="7"/>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different intermediate sanctioning options</w:t>
            </w:r>
          </w:p>
          <w:p w:rsidR="007536E6" w:rsidRPr="007536E6" w:rsidRDefault="007536E6" w:rsidP="007536E6">
            <w:pPr>
              <w:keepLines/>
              <w:numPr>
                <w:ilvl w:val="0"/>
                <w:numId w:val="7"/>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different secure care sanctioning options</w:t>
            </w:r>
          </w:p>
          <w:p w:rsidR="007536E6" w:rsidRPr="007536E6" w:rsidRDefault="007536E6" w:rsidP="007536E6">
            <w:pPr>
              <w:keepLines/>
              <w:numPr>
                <w:ilvl w:val="0"/>
                <w:numId w:val="7"/>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different aftercare/reentry sanctioning options</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spacing w:after="0" w:line="240" w:lineRule="auto"/>
              <w:rPr>
                <w:rFonts w:ascii="Arial Narrow" w:hAnsi="Arial Narrow" w:cs="Tahoma"/>
                <w:sz w:val="18"/>
                <w:szCs w:val="17"/>
              </w:rPr>
            </w:pPr>
            <w:r w:rsidRPr="007536E6">
              <w:rPr>
                <w:rFonts w:ascii="Arial Narrow" w:hAnsi="Arial Narrow" w:cs="Tahoma"/>
                <w:sz w:val="18"/>
                <w:szCs w:val="17"/>
              </w:rPr>
              <w:t>Number and percent of staff trained on the use of graduated sanctions</w:t>
            </w:r>
          </w:p>
        </w:tc>
        <w:tc>
          <w:tcPr>
            <w:tcW w:w="4029" w:type="dxa"/>
          </w:tcPr>
          <w:p w:rsidR="007536E6" w:rsidRPr="007536E6" w:rsidRDefault="007536E6" w:rsidP="007536E6">
            <w:pPr>
              <w:spacing w:after="0" w:line="240" w:lineRule="auto"/>
              <w:rPr>
                <w:rFonts w:ascii="Arial Narrow" w:hAnsi="Arial Narrow" w:cs="Tahoma"/>
                <w:sz w:val="18"/>
                <w:szCs w:val="17"/>
              </w:rPr>
            </w:pPr>
            <w:r w:rsidRPr="007536E6">
              <w:rPr>
                <w:rFonts w:ascii="Arial Narrow" w:hAnsi="Arial Narrow" w:cs="Tahoma"/>
                <w:sz w:val="18"/>
                <w:szCs w:val="17"/>
              </w:rPr>
              <w:t>To determine coverage of the graduated sanctions approach within an agency or unit of local government or tribal equivalent with regard to institutional investment as expressed through training provided.  Appropriate for any agency or unit of government or tribal equivalent that directly serves youth and is implementing a graduated sanctions program.  Report the raw number of staff trained during the reporting period.  Percent is the raw number divided by the total number of staff who offer direct services to youth.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w:t>
            </w:r>
          </w:p>
        </w:tc>
        <w:tc>
          <w:tcPr>
            <w:tcW w:w="2754" w:type="dxa"/>
          </w:tcPr>
          <w:p w:rsidR="007536E6" w:rsidRPr="007536E6" w:rsidRDefault="007536E6" w:rsidP="007536E6">
            <w:pPr>
              <w:keepLines/>
              <w:numPr>
                <w:ilvl w:val="0"/>
                <w:numId w:val="8"/>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staff trained</w:t>
            </w:r>
          </w:p>
          <w:p w:rsidR="007536E6" w:rsidRPr="007536E6" w:rsidRDefault="007536E6" w:rsidP="007536E6">
            <w:pPr>
              <w:keepLines/>
              <w:numPr>
                <w:ilvl w:val="0"/>
                <w:numId w:val="8"/>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staff who offer direct services</w:t>
            </w:r>
          </w:p>
          <w:p w:rsidR="007536E6" w:rsidRPr="007536E6" w:rsidRDefault="007536E6" w:rsidP="007536E6">
            <w:pPr>
              <w:keepLines/>
              <w:numPr>
                <w:ilvl w:val="0"/>
                <w:numId w:val="8"/>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767" w:type="dxa"/>
          </w:tcPr>
          <w:p w:rsidR="007536E6" w:rsidRPr="007536E6" w:rsidRDefault="007536E6" w:rsidP="007536E6">
            <w:pPr>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training requests RECEIVED</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This measure represents the number of training requests received during the reporting period. Requests can come from individuals or organizations served.</w:t>
            </w:r>
          </w:p>
        </w:tc>
        <w:tc>
          <w:tcPr>
            <w:tcW w:w="2754" w:type="dxa"/>
          </w:tcPr>
          <w:p w:rsidR="007536E6" w:rsidRPr="007536E6" w:rsidRDefault="007536E6" w:rsidP="007536E6">
            <w:pPr>
              <w:keepLines/>
              <w:numPr>
                <w:ilvl w:val="0"/>
                <w:numId w:val="9"/>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training requests received during the reporting period.</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technical assistance requests RECEIVED</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2754" w:type="dxa"/>
          </w:tcPr>
          <w:p w:rsidR="007536E6" w:rsidRPr="007536E6" w:rsidRDefault="007536E6" w:rsidP="007536E6">
            <w:pPr>
              <w:keepLines/>
              <w:numPr>
                <w:ilvl w:val="0"/>
                <w:numId w:val="10"/>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technical assistance requests received during the reporting period</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program materials developed during the reporting period</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54" w:type="dxa"/>
          </w:tcPr>
          <w:p w:rsidR="007536E6" w:rsidRPr="007536E6" w:rsidRDefault="007536E6" w:rsidP="007536E6">
            <w:pPr>
              <w:keepLines/>
              <w:numPr>
                <w:ilvl w:val="0"/>
                <w:numId w:val="11"/>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program materials developed</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planning or training events held during the reporting period</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54" w:type="dxa"/>
          </w:tcPr>
          <w:p w:rsidR="007536E6" w:rsidRPr="007536E6" w:rsidRDefault="007536E6" w:rsidP="007536E6">
            <w:pPr>
              <w:keepLines/>
              <w:numPr>
                <w:ilvl w:val="0"/>
                <w:numId w:val="1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planning or training activities held during the reporting period</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people trained during the reporting period</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54" w:type="dxa"/>
          </w:tcPr>
          <w:p w:rsidR="007536E6" w:rsidRPr="007536E6" w:rsidRDefault="007536E6" w:rsidP="007536E6">
            <w:pPr>
              <w:keepLines/>
              <w:numPr>
                <w:ilvl w:val="0"/>
                <w:numId w:val="13"/>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people trained</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98" w:type="dxa"/>
          </w:tcPr>
          <w:p w:rsidR="007536E6" w:rsidRPr="005A3825" w:rsidRDefault="007536E6" w:rsidP="005A3825">
            <w:pPr>
              <w:pStyle w:val="ListParagraph"/>
              <w:keepLines/>
              <w:numPr>
                <w:ilvl w:val="0"/>
                <w:numId w:val="30"/>
              </w:numPr>
              <w:spacing w:after="0" w:line="240" w:lineRule="auto"/>
              <w:rPr>
                <w:rFonts w:ascii="Arial Narrow" w:hAnsi="Arial Narrow" w:cs="Tahoma"/>
                <w:sz w:val="18"/>
                <w:szCs w:val="17"/>
              </w:rPr>
            </w:pPr>
          </w:p>
        </w:tc>
        <w:tc>
          <w:tcPr>
            <w:tcW w:w="2292"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029"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754" w:type="dxa"/>
          </w:tcPr>
          <w:p w:rsidR="007536E6" w:rsidRPr="007536E6" w:rsidRDefault="007536E6" w:rsidP="007536E6">
            <w:pPr>
              <w:keepLines/>
              <w:numPr>
                <w:ilvl w:val="0"/>
                <w:numId w:val="1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programs served by TTA that reported using an evidence-based program and / or practice.</w:t>
            </w:r>
          </w:p>
          <w:p w:rsidR="007536E6" w:rsidRPr="007536E6" w:rsidRDefault="007536E6" w:rsidP="007536E6">
            <w:pPr>
              <w:keepLines/>
              <w:numPr>
                <w:ilvl w:val="0"/>
                <w:numId w:val="1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programs served by TTA</w:t>
            </w:r>
          </w:p>
          <w:p w:rsidR="007536E6" w:rsidRPr="007536E6" w:rsidRDefault="007536E6" w:rsidP="007536E6">
            <w:pPr>
              <w:keepLines/>
              <w:numPr>
                <w:ilvl w:val="0"/>
                <w:numId w:val="1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of programs served by TTA that report using an evidence-based program and / or practice (A/B)</w:t>
            </w:r>
          </w:p>
        </w:tc>
        <w:tc>
          <w:tcPr>
            <w:tcW w:w="1767" w:type="dxa"/>
          </w:tcPr>
          <w:p w:rsidR="007536E6" w:rsidRPr="007536E6" w:rsidRDefault="007536E6" w:rsidP="007536E6">
            <w:pPr>
              <w:keepLines/>
              <w:spacing w:after="0" w:line="240" w:lineRule="auto"/>
              <w:ind w:left="720"/>
              <w:rPr>
                <w:rFonts w:ascii="Arial Narrow" w:hAnsi="Arial Narrow" w:cs="Tahoma"/>
                <w:sz w:val="18"/>
                <w:szCs w:val="17"/>
              </w:rPr>
            </w:pPr>
          </w:p>
        </w:tc>
      </w:tr>
    </w:tbl>
    <w:p w:rsidR="007536E6" w:rsidRPr="007536E6" w:rsidRDefault="007536E6" w:rsidP="007536E6">
      <w:pPr>
        <w:spacing w:after="0" w:line="240" w:lineRule="auto"/>
        <w:rPr>
          <w:rFonts w:ascii="Arial Narrow" w:hAnsi="Arial Narrow"/>
          <w:sz w:val="18"/>
          <w:szCs w:val="18"/>
        </w:rPr>
        <w:sectPr w:rsidR="007536E6" w:rsidRPr="007536E6" w:rsidSect="004D7F3D">
          <w:headerReference w:type="default" r:id="rId7"/>
          <w:footerReference w:type="default" r:id="rId8"/>
          <w:pgSz w:w="12240" w:h="15840"/>
          <w:pgMar w:top="720" w:right="720" w:bottom="720" w:left="720" w:header="576" w:footer="576" w:gutter="0"/>
          <w:cols w:space="720"/>
          <w:docGrid w:linePitch="360"/>
        </w:sectPr>
      </w:pPr>
    </w:p>
    <w:p w:rsidR="007536E6" w:rsidRPr="007536E6" w:rsidRDefault="007536E6" w:rsidP="007536E6">
      <w:pPr>
        <w:spacing w:after="0" w:line="240" w:lineRule="auto"/>
        <w:jc w:val="center"/>
        <w:rPr>
          <w:rFonts w:ascii="Arial Narrow" w:hAnsi="Arial Narrow"/>
          <w:sz w:val="18"/>
          <w:szCs w:val="18"/>
        </w:rPr>
      </w:pPr>
      <w:r w:rsidRPr="007536E6">
        <w:rPr>
          <w:rFonts w:ascii="Arial Narrow" w:hAnsi="Arial Narrow" w:cs="Tahoma"/>
          <w:b/>
          <w:bCs/>
          <w:color w:val="FF0000"/>
          <w:sz w:val="18"/>
          <w:szCs w:val="18"/>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47"/>
        <w:gridCol w:w="1868"/>
        <w:gridCol w:w="3676"/>
        <w:gridCol w:w="3412"/>
        <w:gridCol w:w="1547"/>
      </w:tblGrid>
      <w:tr w:rsidR="007536E6" w:rsidRPr="007536E6" w:rsidTr="009D4BB5">
        <w:trPr>
          <w:cantSplit/>
          <w:tblHeader/>
        </w:trPr>
        <w:tc>
          <w:tcPr>
            <w:tcW w:w="463" w:type="dxa"/>
            <w:tcBorders>
              <w:right w:val="single" w:sz="6" w:space="0" w:color="FFFFFF"/>
            </w:tcBorders>
            <w:shd w:val="clear" w:color="auto" w:fill="003366"/>
            <w:vAlign w:val="center"/>
          </w:tcPr>
          <w:p w:rsidR="007536E6" w:rsidRPr="007536E6" w:rsidRDefault="007536E6" w:rsidP="007536E6">
            <w:pPr>
              <w:keepLines/>
              <w:spacing w:after="0" w:line="240" w:lineRule="auto"/>
              <w:jc w:val="center"/>
              <w:rPr>
                <w:rFonts w:ascii="Arial Narrow" w:hAnsi="Arial Narrow" w:cs="Tahoma"/>
                <w:b/>
                <w:sz w:val="20"/>
                <w:szCs w:val="17"/>
              </w:rPr>
            </w:pPr>
            <w:r w:rsidRPr="007536E6">
              <w:rPr>
                <w:rFonts w:ascii="Arial Narrow" w:hAnsi="Arial Narrow" w:cs="Tahoma"/>
                <w:b/>
                <w:sz w:val="20"/>
                <w:szCs w:val="17"/>
              </w:rPr>
              <w:t>#</w:t>
            </w:r>
          </w:p>
        </w:tc>
        <w:tc>
          <w:tcPr>
            <w:tcW w:w="1925" w:type="dxa"/>
            <w:tcBorders>
              <w:left w:val="single" w:sz="6" w:space="0" w:color="FFFFFF"/>
              <w:right w:val="single" w:sz="6" w:space="0" w:color="FFFFFF"/>
            </w:tcBorders>
            <w:shd w:val="clear" w:color="auto" w:fill="003366"/>
            <w:vAlign w:val="center"/>
          </w:tcPr>
          <w:p w:rsidR="007536E6" w:rsidRPr="007536E6" w:rsidRDefault="007536E6" w:rsidP="007536E6">
            <w:pPr>
              <w:keepLines/>
              <w:spacing w:after="0" w:line="240" w:lineRule="auto"/>
              <w:jc w:val="center"/>
              <w:rPr>
                <w:rFonts w:ascii="Arial Narrow" w:hAnsi="Arial Narrow" w:cs="Tahoma"/>
                <w:b/>
                <w:sz w:val="20"/>
                <w:szCs w:val="17"/>
              </w:rPr>
            </w:pPr>
            <w:r w:rsidRPr="007536E6">
              <w:rPr>
                <w:rFonts w:ascii="Arial Narrow" w:hAnsi="Arial Narrow" w:cs="Tahoma"/>
                <w:b/>
                <w:bCs/>
                <w:sz w:val="20"/>
                <w:szCs w:val="17"/>
              </w:rPr>
              <w:t>Outcome Measure</w:t>
            </w:r>
          </w:p>
        </w:tc>
        <w:tc>
          <w:tcPr>
            <w:tcW w:w="3857" w:type="dxa"/>
            <w:tcBorders>
              <w:left w:val="single" w:sz="6" w:space="0" w:color="FFFFFF"/>
              <w:right w:val="single" w:sz="6" w:space="0" w:color="FFFFFF"/>
            </w:tcBorders>
            <w:shd w:val="clear" w:color="auto" w:fill="003366"/>
            <w:vAlign w:val="center"/>
          </w:tcPr>
          <w:p w:rsidR="007536E6" w:rsidRPr="007536E6" w:rsidRDefault="007536E6" w:rsidP="007536E6">
            <w:pPr>
              <w:keepLines/>
              <w:spacing w:after="0" w:line="240" w:lineRule="auto"/>
              <w:jc w:val="center"/>
              <w:rPr>
                <w:rFonts w:ascii="Arial Narrow" w:hAnsi="Arial Narrow" w:cs="Tahoma"/>
                <w:sz w:val="20"/>
                <w:szCs w:val="17"/>
              </w:rPr>
            </w:pPr>
            <w:r w:rsidRPr="007536E6">
              <w:rPr>
                <w:rFonts w:ascii="Arial Narrow" w:hAnsi="Arial Narrow" w:cs="Tahoma"/>
                <w:b/>
                <w:bCs/>
                <w:sz w:val="20"/>
                <w:szCs w:val="17"/>
              </w:rPr>
              <w:t>Definition</w:t>
            </w:r>
          </w:p>
        </w:tc>
        <w:tc>
          <w:tcPr>
            <w:tcW w:w="3412" w:type="dxa"/>
            <w:tcBorders>
              <w:left w:val="single" w:sz="6" w:space="0" w:color="FFFFFF"/>
              <w:right w:val="single" w:sz="6" w:space="0" w:color="FFFFFF" w:themeColor="background1"/>
            </w:tcBorders>
            <w:shd w:val="clear" w:color="auto" w:fill="003366"/>
            <w:noWrap/>
            <w:vAlign w:val="center"/>
          </w:tcPr>
          <w:p w:rsidR="007536E6" w:rsidRPr="007536E6" w:rsidRDefault="007536E6" w:rsidP="007536E6">
            <w:pPr>
              <w:keepLines/>
              <w:spacing w:after="0" w:line="240" w:lineRule="auto"/>
              <w:jc w:val="center"/>
              <w:rPr>
                <w:rFonts w:ascii="Arial Narrow" w:hAnsi="Arial Narrow" w:cs="Tahoma"/>
                <w:sz w:val="20"/>
                <w:szCs w:val="17"/>
              </w:rPr>
            </w:pPr>
            <w:r w:rsidRPr="007536E6">
              <w:rPr>
                <w:rFonts w:ascii="Arial Narrow" w:hAnsi="Arial Narrow" w:cs="Tahoma"/>
                <w:b/>
                <w:sz w:val="20"/>
                <w:szCs w:val="17"/>
              </w:rPr>
              <w:t>Data Grantee Reports</w:t>
            </w:r>
          </w:p>
        </w:tc>
        <w:tc>
          <w:tcPr>
            <w:tcW w:w="1608" w:type="dxa"/>
            <w:tcBorders>
              <w:left w:val="single" w:sz="6" w:space="0" w:color="FFFFFF" w:themeColor="background1"/>
            </w:tcBorders>
            <w:shd w:val="clear" w:color="auto" w:fill="003366"/>
          </w:tcPr>
          <w:p w:rsidR="007536E6" w:rsidRPr="007536E6" w:rsidRDefault="007536E6" w:rsidP="007536E6">
            <w:pPr>
              <w:keepLines/>
              <w:spacing w:after="0" w:line="240" w:lineRule="auto"/>
              <w:jc w:val="center"/>
              <w:rPr>
                <w:rFonts w:ascii="Arial Narrow" w:hAnsi="Arial Narrow" w:cs="Tahoma"/>
                <w:b/>
                <w:sz w:val="20"/>
                <w:szCs w:val="17"/>
              </w:rPr>
            </w:pPr>
            <w:r w:rsidRPr="007536E6">
              <w:rPr>
                <w:rFonts w:ascii="Arial Narrow" w:hAnsi="Arial Narrow" w:cs="Tahoma"/>
                <w:b/>
                <w:sz w:val="20"/>
                <w:szCs w:val="17"/>
              </w:rPr>
              <w:t>Record Data Here</w:t>
            </w: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Percent of people exhibiting an increased knowledge of the program area during the reporting period</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412" w:type="dxa"/>
          </w:tcPr>
          <w:p w:rsidR="007536E6" w:rsidRPr="007536E6" w:rsidRDefault="007536E6" w:rsidP="007536E6">
            <w:pPr>
              <w:keepLines/>
              <w:numPr>
                <w:ilvl w:val="0"/>
                <w:numId w:val="1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people exhibiting an increase in knowledge post-training.</w:t>
            </w:r>
          </w:p>
          <w:p w:rsidR="007536E6" w:rsidRPr="007536E6" w:rsidRDefault="007536E6" w:rsidP="007536E6">
            <w:pPr>
              <w:keepLines/>
              <w:numPr>
                <w:ilvl w:val="0"/>
                <w:numId w:val="1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people trained during the reporting period.</w:t>
            </w:r>
          </w:p>
          <w:p w:rsidR="007536E6" w:rsidRPr="007536E6" w:rsidRDefault="007536E6" w:rsidP="007536E6">
            <w:pPr>
              <w:keepLines/>
              <w:numPr>
                <w:ilvl w:val="0"/>
                <w:numId w:val="1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of people trained who exhibited increased knowledge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program policies changed, improved, or rescinded during the reporting period</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412" w:type="dxa"/>
          </w:tcPr>
          <w:p w:rsidR="007536E6" w:rsidRPr="007536E6" w:rsidRDefault="007536E6" w:rsidP="007536E6">
            <w:pPr>
              <w:keepLines/>
              <w:numPr>
                <w:ilvl w:val="0"/>
                <w:numId w:val="1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programs policies changed during the reporting period</w:t>
            </w:r>
          </w:p>
          <w:p w:rsidR="007536E6" w:rsidRPr="007536E6" w:rsidRDefault="007536E6" w:rsidP="007536E6">
            <w:pPr>
              <w:keepLines/>
              <w:numPr>
                <w:ilvl w:val="0"/>
                <w:numId w:val="1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programs policies rescinded during the reporting period</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numPr>
                <w:ilvl w:val="0"/>
                <w:numId w:val="30"/>
              </w:numPr>
              <w:spacing w:after="0" w:line="240" w:lineRule="auto"/>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Percent of organizations reporting improvements in operations based on training and technical assistance (TTA).</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The number and percent of organizations reporting improvements in operations as a result of TTA one to six months post-service.</w:t>
            </w:r>
          </w:p>
        </w:tc>
        <w:tc>
          <w:tcPr>
            <w:tcW w:w="3412" w:type="dxa"/>
          </w:tcPr>
          <w:p w:rsidR="007536E6" w:rsidRPr="007536E6" w:rsidRDefault="007536E6" w:rsidP="007536E6">
            <w:pPr>
              <w:keepLines/>
              <w:numPr>
                <w:ilvl w:val="0"/>
                <w:numId w:val="17"/>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The number of organizations reporting improvements in operations based on training and technical assistance during the reporting period.</w:t>
            </w:r>
          </w:p>
          <w:p w:rsidR="007536E6" w:rsidRPr="007536E6" w:rsidRDefault="007536E6" w:rsidP="007536E6">
            <w:pPr>
              <w:keepLines/>
              <w:numPr>
                <w:ilvl w:val="0"/>
                <w:numId w:val="17"/>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organizations served by TTA during the reporting period.</w:t>
            </w:r>
          </w:p>
          <w:p w:rsidR="007536E6" w:rsidRPr="007536E6" w:rsidRDefault="007536E6" w:rsidP="007536E6">
            <w:pPr>
              <w:keepLines/>
              <w:numPr>
                <w:ilvl w:val="0"/>
                <w:numId w:val="17"/>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and percent of sanctions that were successfully contested</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 xml:space="preserve">Gain insight into the appropriateness of sanctions imposed based on the assumption that overturned sanctions were inappropriate or inappropriately applied.  Most appropriate for programs that are implementing graduated sanctions programs.  Report the raw number of sanctions that were overturned.  Percent is the raw number divided by the </w:t>
            </w:r>
            <w:r w:rsidRPr="007536E6">
              <w:rPr>
                <w:rFonts w:ascii="Arial Narrow" w:hAnsi="Arial Narrow" w:cs="Tahoma"/>
                <w:sz w:val="18"/>
                <w:szCs w:val="17"/>
                <w:u w:val="words"/>
              </w:rPr>
              <w:t>total</w:t>
            </w:r>
            <w:r w:rsidRPr="007536E6">
              <w:rPr>
                <w:rFonts w:ascii="Arial Narrow" w:hAnsi="Arial Narrow" w:cs="Tahoma"/>
                <w:sz w:val="18"/>
                <w:szCs w:val="17"/>
              </w:rPr>
              <w:t xml:space="preserve"> number of sanctions applied.</w:t>
            </w:r>
          </w:p>
        </w:tc>
        <w:tc>
          <w:tcPr>
            <w:tcW w:w="3412" w:type="dxa"/>
          </w:tcPr>
          <w:p w:rsidR="007536E6" w:rsidRPr="007536E6" w:rsidRDefault="007536E6" w:rsidP="007536E6">
            <w:pPr>
              <w:keepLines/>
              <w:numPr>
                <w:ilvl w:val="0"/>
                <w:numId w:val="18"/>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sanctions overturned</w:t>
            </w:r>
          </w:p>
          <w:p w:rsidR="007536E6" w:rsidRPr="007536E6" w:rsidRDefault="007536E6" w:rsidP="007536E6">
            <w:pPr>
              <w:keepLines/>
              <w:numPr>
                <w:ilvl w:val="0"/>
                <w:numId w:val="18"/>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sanctions applied</w:t>
            </w:r>
          </w:p>
          <w:p w:rsidR="007536E6" w:rsidRPr="007536E6" w:rsidRDefault="007536E6" w:rsidP="007536E6">
            <w:pPr>
              <w:keepLines/>
              <w:numPr>
                <w:ilvl w:val="0"/>
                <w:numId w:val="18"/>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hours of service received per youth</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Measure the amount of service youth are getting through the graduated sanctions program.  Appropriate for programs with implemented graduated sanctions programs.  Report the total number of hours of service that youth in the program received divided by the number of youth in the program.  Include both hours of service directly offered by the program as well as hours of service received due to program participation (e.g., hours of service received through agencies affiliated with, or that sub-contract to, the grantee).</w:t>
            </w:r>
          </w:p>
        </w:tc>
        <w:tc>
          <w:tcPr>
            <w:tcW w:w="3412" w:type="dxa"/>
          </w:tcPr>
          <w:p w:rsidR="007536E6" w:rsidRPr="007536E6" w:rsidRDefault="007536E6" w:rsidP="007536E6">
            <w:pPr>
              <w:keepLines/>
              <w:numPr>
                <w:ilvl w:val="0"/>
                <w:numId w:val="19"/>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hours of service to youth</w:t>
            </w:r>
          </w:p>
          <w:p w:rsidR="007536E6" w:rsidRPr="007536E6" w:rsidRDefault="007536E6" w:rsidP="007536E6">
            <w:pPr>
              <w:keepLines/>
              <w:numPr>
                <w:ilvl w:val="0"/>
                <w:numId w:val="19"/>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w:t>
            </w:r>
          </w:p>
          <w:p w:rsidR="007536E6" w:rsidRPr="007536E6" w:rsidRDefault="007536E6" w:rsidP="007536E6">
            <w:pPr>
              <w:keepLines/>
              <w:numPr>
                <w:ilvl w:val="0"/>
                <w:numId w:val="19"/>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hours per youth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Cost savings</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the efficiency of the graduated sanctions program based on the assumption that graduated sanctions reduce the penetration of youth further into the justice system and, therefore, cost less per youth.  Most appropriate for a unit of local government or tribal equivalent, justice system, or large agency implementing a graduated sanctions program.  Report the average total cost per comparable case (e.g., similar justice history and intake offense) to the grantee at the start of the reporting period subtracted by the average cost per case at the end of the reporting period.  If several disparate programs are included under the grant, please report the figure per program (e.g., if the grant covers services offered through a pre-trial unit and a detention, facility, please report cost savings per program).  For example, if it used to cost $1,000 to process a case through the pre-trial unit at the start of the reporting period, but only costs $800 dollars at the end, the cost savings would be $200 per case.</w:t>
            </w:r>
          </w:p>
        </w:tc>
        <w:tc>
          <w:tcPr>
            <w:tcW w:w="3412" w:type="dxa"/>
          </w:tcPr>
          <w:p w:rsidR="007536E6" w:rsidRPr="007536E6" w:rsidRDefault="007536E6" w:rsidP="007536E6">
            <w:pPr>
              <w:keepLines/>
              <w:numPr>
                <w:ilvl w:val="0"/>
                <w:numId w:val="20"/>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Total cost per case not using graduated sanctions</w:t>
            </w:r>
          </w:p>
          <w:p w:rsidR="007536E6" w:rsidRPr="007536E6" w:rsidRDefault="007536E6" w:rsidP="007536E6">
            <w:pPr>
              <w:keepLines/>
              <w:numPr>
                <w:ilvl w:val="0"/>
                <w:numId w:val="20"/>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Total cost per graduated sanctions case</w:t>
            </w:r>
          </w:p>
          <w:p w:rsidR="007536E6" w:rsidRPr="007536E6" w:rsidRDefault="007536E6" w:rsidP="007536E6">
            <w:pPr>
              <w:keepLines/>
              <w:numPr>
                <w:ilvl w:val="0"/>
                <w:numId w:val="20"/>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Cost savings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and percent of cases that result in alternatives to detention</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if the program is working as intended by actually reducing the number of cases that result in detention.  Most appropriate for a court or other program in which staff have the capacity to assign youth to detention.  Report the raw number of program youth who were assigned to an alternative to detention that without the program would have been assigned to detention.  Percent is the raw number divided by the raw number plus the number of youth assigned to detention.</w:t>
            </w:r>
          </w:p>
        </w:tc>
        <w:tc>
          <w:tcPr>
            <w:tcW w:w="3412" w:type="dxa"/>
          </w:tcPr>
          <w:p w:rsidR="007536E6" w:rsidRPr="007536E6" w:rsidRDefault="007536E6" w:rsidP="007536E6">
            <w:pPr>
              <w:keepLines/>
              <w:numPr>
                <w:ilvl w:val="0"/>
                <w:numId w:val="21"/>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who without the program would have been assigned to detention</w:t>
            </w:r>
          </w:p>
          <w:p w:rsidR="007536E6" w:rsidRPr="007536E6" w:rsidRDefault="007536E6" w:rsidP="007536E6">
            <w:pPr>
              <w:keepLines/>
              <w:numPr>
                <w:ilvl w:val="0"/>
                <w:numId w:val="21"/>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assigned to detention</w:t>
            </w:r>
          </w:p>
          <w:p w:rsidR="007536E6" w:rsidRPr="007536E6" w:rsidRDefault="007536E6" w:rsidP="007536E6">
            <w:pPr>
              <w:keepLines/>
              <w:numPr>
                <w:ilvl w:val="0"/>
                <w:numId w:val="21"/>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(A/(A + 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spacing w:after="0" w:line="240" w:lineRule="auto"/>
              <w:rPr>
                <w:rFonts w:ascii="Arial Narrow" w:hAnsi="Arial Narrow" w:cs="Tahoma"/>
                <w:sz w:val="18"/>
                <w:szCs w:val="17"/>
              </w:rPr>
            </w:pPr>
            <w:r w:rsidRPr="007536E6">
              <w:rPr>
                <w:rFonts w:ascii="Arial Narrow" w:hAnsi="Arial Narrow" w:cs="Tahoma"/>
                <w:sz w:val="18"/>
                <w:szCs w:val="17"/>
              </w:rPr>
              <w:t>Number and percent of cases that result in community service, monetary restitution, and direct service to victims</w:t>
            </w:r>
          </w:p>
        </w:tc>
        <w:tc>
          <w:tcPr>
            <w:tcW w:w="3857" w:type="dxa"/>
          </w:tcPr>
          <w:p w:rsidR="007536E6" w:rsidRPr="007536E6" w:rsidRDefault="007536E6" w:rsidP="007536E6">
            <w:pPr>
              <w:spacing w:after="0" w:line="240" w:lineRule="auto"/>
              <w:rPr>
                <w:rFonts w:ascii="Arial Narrow" w:hAnsi="Arial Narrow" w:cs="Tahoma"/>
                <w:sz w:val="18"/>
                <w:szCs w:val="17"/>
              </w:rPr>
            </w:pPr>
            <w:r w:rsidRPr="007536E6">
              <w:rPr>
                <w:rFonts w:ascii="Arial Narrow" w:hAnsi="Arial Narrow" w:cs="Tahoma"/>
                <w:sz w:val="18"/>
                <w:szCs w:val="17"/>
              </w:rPr>
              <w:t>Determine whether the graduated sanctions program is being implemented as intended with regard to holding youth accountable using restorative justice approaches.  Report the raw number of cases handled through the graduated sanctions program that resulted in one of the listed categories.  Percent would be the raw number per type divided by the number of cases handled by the grantee.</w:t>
            </w:r>
          </w:p>
        </w:tc>
        <w:tc>
          <w:tcPr>
            <w:tcW w:w="3412" w:type="dxa"/>
          </w:tcPr>
          <w:p w:rsidR="007536E6" w:rsidRPr="007536E6" w:rsidRDefault="007536E6" w:rsidP="007536E6">
            <w:pPr>
              <w:keepLines/>
              <w:numPr>
                <w:ilvl w:val="0"/>
                <w:numId w:val="2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cases to result in community service</w:t>
            </w:r>
          </w:p>
          <w:p w:rsidR="007536E6" w:rsidRPr="007536E6" w:rsidRDefault="007536E6" w:rsidP="007536E6">
            <w:pPr>
              <w:keepLines/>
              <w:numPr>
                <w:ilvl w:val="0"/>
                <w:numId w:val="2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cases to result in monetary restitution</w:t>
            </w:r>
          </w:p>
          <w:p w:rsidR="007536E6" w:rsidRPr="007536E6" w:rsidRDefault="007536E6" w:rsidP="007536E6">
            <w:pPr>
              <w:keepLines/>
              <w:numPr>
                <w:ilvl w:val="0"/>
                <w:numId w:val="2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cases to result in direct service to victims</w:t>
            </w:r>
          </w:p>
          <w:p w:rsidR="007536E6" w:rsidRPr="007536E6" w:rsidRDefault="007536E6" w:rsidP="007536E6">
            <w:pPr>
              <w:keepLines/>
              <w:numPr>
                <w:ilvl w:val="0"/>
                <w:numId w:val="2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cases handled by the grantee</w:t>
            </w:r>
          </w:p>
          <w:p w:rsidR="007536E6" w:rsidRPr="007536E6" w:rsidRDefault="007536E6" w:rsidP="007536E6">
            <w:pPr>
              <w:keepLines/>
              <w:numPr>
                <w:ilvl w:val="0"/>
                <w:numId w:val="2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of cases resulted in community service (A/D)</w:t>
            </w:r>
          </w:p>
          <w:p w:rsidR="007536E6" w:rsidRPr="007536E6" w:rsidRDefault="007536E6" w:rsidP="007536E6">
            <w:pPr>
              <w:keepLines/>
              <w:numPr>
                <w:ilvl w:val="0"/>
                <w:numId w:val="2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of cases resulted in monetary restitution  (B/D)</w:t>
            </w:r>
          </w:p>
          <w:p w:rsidR="007536E6" w:rsidRPr="007536E6" w:rsidRDefault="007536E6" w:rsidP="007536E6">
            <w:pPr>
              <w:keepLines/>
              <w:numPr>
                <w:ilvl w:val="0"/>
                <w:numId w:val="22"/>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of cases resulted in direct service to victims (C/D)</w:t>
            </w:r>
          </w:p>
        </w:tc>
        <w:tc>
          <w:tcPr>
            <w:tcW w:w="1608" w:type="dxa"/>
          </w:tcPr>
          <w:p w:rsidR="007536E6" w:rsidRPr="007536E6" w:rsidRDefault="007536E6" w:rsidP="007536E6">
            <w:pPr>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and percent of sanction changes that were from a less restrictive to a more restrictive sanction</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if sanctions are being applied appropriately based on the understanding that a well-run system will have a balance between increasing and reducing sanctions.  Report the raw number of times sanction levels were changed to become more restrictive, and Percent would be the raw number divided by the total number of sanction-level changes during the reporting period.</w:t>
            </w:r>
          </w:p>
        </w:tc>
        <w:tc>
          <w:tcPr>
            <w:tcW w:w="3412" w:type="dxa"/>
          </w:tcPr>
          <w:p w:rsidR="007536E6" w:rsidRPr="007536E6" w:rsidRDefault="007536E6" w:rsidP="007536E6">
            <w:pPr>
              <w:keepLines/>
              <w:numPr>
                <w:ilvl w:val="0"/>
                <w:numId w:val="23"/>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sanction-level changes to more restrictive</w:t>
            </w:r>
          </w:p>
          <w:p w:rsidR="007536E6" w:rsidRPr="007536E6" w:rsidRDefault="007536E6" w:rsidP="007536E6">
            <w:pPr>
              <w:keepLines/>
              <w:numPr>
                <w:ilvl w:val="0"/>
                <w:numId w:val="23"/>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sanction-level changes</w:t>
            </w:r>
          </w:p>
          <w:p w:rsidR="007536E6" w:rsidRPr="007536E6" w:rsidRDefault="007536E6" w:rsidP="007536E6">
            <w:pPr>
              <w:keepLines/>
              <w:numPr>
                <w:ilvl w:val="0"/>
                <w:numId w:val="23"/>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Time in hours from infraction to sanction</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if the program is becoming more efficient.  It is based on the idea that graduated sanctions must be applied swiftly.  Appropriate for any program implementing a graduated sanctions program.  Applies to youths' infractions while in the graduated sanctions program funded with JABG/Tribal JADG  funds.  Report the cumulative number of hours from infractions by youth according to their behavioral contracts to the infraction being addressed with a sanction divided by the number of infractions. If there are infractions that have not resulted in sanctions, count the number of hours from the infraction until the end of the youth’s participation in the program.</w:t>
            </w:r>
          </w:p>
        </w:tc>
        <w:tc>
          <w:tcPr>
            <w:tcW w:w="3412" w:type="dxa"/>
          </w:tcPr>
          <w:p w:rsidR="007536E6" w:rsidRPr="007536E6" w:rsidRDefault="007536E6" w:rsidP="007536E6">
            <w:pPr>
              <w:keepLines/>
              <w:numPr>
                <w:ilvl w:val="0"/>
                <w:numId w:val="2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Cumulative hours from infractions to sanctions</w:t>
            </w:r>
          </w:p>
          <w:p w:rsidR="007536E6" w:rsidRPr="007536E6" w:rsidRDefault="007536E6" w:rsidP="007536E6">
            <w:pPr>
              <w:keepLines/>
              <w:numPr>
                <w:ilvl w:val="0"/>
                <w:numId w:val="2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infractions</w:t>
            </w:r>
          </w:p>
          <w:p w:rsidR="007536E6" w:rsidRPr="007536E6" w:rsidRDefault="007536E6" w:rsidP="007536E6">
            <w:pPr>
              <w:keepLines/>
              <w:numPr>
                <w:ilvl w:val="0"/>
                <w:numId w:val="24"/>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Average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and percent of youth who were monitored according to the terms in their behavioral contracts</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if the program is becoming more accountable as shown by staff upholding their part of the behavioral contract (i.e., not acting capriciously).  Appropriate for any program implementing a graduated sanction program.  Report the raw number of youth for whom program staff followed the guidelines of that youth’s behavioral contract (e.g., made contact as required, responded to infractions as described in the contract, etc.).  Percent would be the raw number divided by the total number of youth in the program.</w:t>
            </w:r>
          </w:p>
        </w:tc>
        <w:tc>
          <w:tcPr>
            <w:tcW w:w="3412" w:type="dxa"/>
          </w:tcPr>
          <w:p w:rsidR="007536E6" w:rsidRPr="007536E6" w:rsidRDefault="007536E6" w:rsidP="007536E6">
            <w:pPr>
              <w:keepLines/>
              <w:numPr>
                <w:ilvl w:val="0"/>
                <w:numId w:val="2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for whom staff followed the guidelines of the youth's behavioral contract</w:t>
            </w:r>
          </w:p>
          <w:p w:rsidR="007536E6" w:rsidRPr="007536E6" w:rsidRDefault="007536E6" w:rsidP="007536E6">
            <w:pPr>
              <w:keepLines/>
              <w:numPr>
                <w:ilvl w:val="0"/>
                <w:numId w:val="2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served</w:t>
            </w:r>
          </w:p>
          <w:p w:rsidR="007536E6" w:rsidRPr="007536E6" w:rsidRDefault="007536E6" w:rsidP="007536E6">
            <w:pPr>
              <w:keepLines/>
              <w:numPr>
                <w:ilvl w:val="0"/>
                <w:numId w:val="25"/>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r w:rsidR="007536E6" w:rsidRPr="007536E6" w:rsidTr="009D4BB5">
        <w:trPr>
          <w:cantSplit/>
        </w:trPr>
        <w:tc>
          <w:tcPr>
            <w:tcW w:w="463" w:type="dxa"/>
          </w:tcPr>
          <w:p w:rsidR="007536E6" w:rsidRPr="005A3825" w:rsidRDefault="007536E6" w:rsidP="005A3825">
            <w:pPr>
              <w:pStyle w:val="ListParagraph"/>
              <w:keepLines/>
              <w:numPr>
                <w:ilvl w:val="0"/>
                <w:numId w:val="30"/>
              </w:numPr>
              <w:spacing w:after="0" w:line="240" w:lineRule="auto"/>
              <w:jc w:val="center"/>
              <w:rPr>
                <w:rFonts w:ascii="Arial Narrow" w:hAnsi="Arial Narrow" w:cs="Tahoma"/>
                <w:sz w:val="18"/>
                <w:szCs w:val="17"/>
              </w:rPr>
            </w:pPr>
          </w:p>
        </w:tc>
        <w:tc>
          <w:tcPr>
            <w:tcW w:w="1925" w:type="dxa"/>
          </w:tcPr>
          <w:p w:rsidR="007536E6" w:rsidRPr="007536E6" w:rsidRDefault="007536E6" w:rsidP="007536E6">
            <w:pPr>
              <w:keepLines/>
              <w:spacing w:after="0" w:line="240" w:lineRule="auto"/>
              <w:rPr>
                <w:rFonts w:ascii="Arial Narrow" w:hAnsi="Arial Narrow" w:cs="Tahoma"/>
                <w:bCs/>
                <w:sz w:val="18"/>
                <w:szCs w:val="17"/>
              </w:rPr>
            </w:pPr>
            <w:r w:rsidRPr="007536E6">
              <w:rPr>
                <w:rFonts w:ascii="Arial Narrow" w:hAnsi="Arial Narrow" w:cs="Tahoma"/>
                <w:bCs/>
                <w:sz w:val="18"/>
                <w:szCs w:val="17"/>
              </w:rPr>
              <w:t>Number of non-compliant events (e.g., missing appointments) and percent of all events that were non-compliant</w:t>
            </w:r>
          </w:p>
        </w:tc>
        <w:tc>
          <w:tcPr>
            <w:tcW w:w="3857" w:type="dxa"/>
          </w:tcPr>
          <w:p w:rsidR="007536E6" w:rsidRPr="007536E6" w:rsidRDefault="007536E6" w:rsidP="007536E6">
            <w:pPr>
              <w:keepLines/>
              <w:spacing w:after="0" w:line="240" w:lineRule="auto"/>
              <w:rPr>
                <w:rFonts w:ascii="Arial Narrow" w:hAnsi="Arial Narrow" w:cs="Tahoma"/>
                <w:sz w:val="18"/>
                <w:szCs w:val="17"/>
              </w:rPr>
            </w:pPr>
            <w:r w:rsidRPr="007536E6">
              <w:rPr>
                <w:rFonts w:ascii="Arial Narrow" w:hAnsi="Arial Narrow" w:cs="Tahoma"/>
                <w:sz w:val="18"/>
                <w:szCs w:val="17"/>
              </w:rPr>
              <w:t>Determine if youth are acting more accountably as indicated by their fulfillment of their program requirements.  Report the raw number of times youth did not do things they specifically had agreed to do in their behavioral contracts (or did things they agreed not to do).  Percent would be the raw number divided by the total number of things the youth were expected to do (or not to do).  For example, if a youth was to attend school every day, each day missed would be a non-compliant event.  Percent would be the number of school days missed divided by the total number of days school was in session during the reporting period.</w:t>
            </w:r>
          </w:p>
        </w:tc>
        <w:tc>
          <w:tcPr>
            <w:tcW w:w="3412" w:type="dxa"/>
          </w:tcPr>
          <w:p w:rsidR="007536E6" w:rsidRPr="007536E6" w:rsidRDefault="007536E6" w:rsidP="007536E6">
            <w:pPr>
              <w:keepLines/>
              <w:numPr>
                <w:ilvl w:val="0"/>
                <w:numId w:val="2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non-compliant events</w:t>
            </w:r>
          </w:p>
          <w:p w:rsidR="007536E6" w:rsidRPr="007536E6" w:rsidRDefault="007536E6" w:rsidP="007536E6">
            <w:pPr>
              <w:keepLines/>
              <w:numPr>
                <w:ilvl w:val="0"/>
                <w:numId w:val="2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Number of youth requirements</w:t>
            </w:r>
          </w:p>
          <w:p w:rsidR="007536E6" w:rsidRPr="007536E6" w:rsidRDefault="007536E6" w:rsidP="007536E6">
            <w:pPr>
              <w:keepLines/>
              <w:numPr>
                <w:ilvl w:val="0"/>
                <w:numId w:val="26"/>
              </w:numPr>
              <w:tabs>
                <w:tab w:val="left" w:pos="288"/>
              </w:tabs>
              <w:spacing w:after="0" w:line="240" w:lineRule="auto"/>
              <w:ind w:left="288" w:hanging="288"/>
              <w:rPr>
                <w:rFonts w:ascii="Arial Narrow" w:hAnsi="Arial Narrow" w:cs="Tahoma"/>
                <w:sz w:val="18"/>
                <w:szCs w:val="17"/>
              </w:rPr>
            </w:pPr>
            <w:r w:rsidRPr="007536E6">
              <w:rPr>
                <w:rFonts w:ascii="Arial Narrow" w:hAnsi="Arial Narrow" w:cs="Tahoma"/>
                <w:sz w:val="18"/>
                <w:szCs w:val="17"/>
              </w:rPr>
              <w:t>Percent (A/B)</w:t>
            </w:r>
          </w:p>
        </w:tc>
        <w:tc>
          <w:tcPr>
            <w:tcW w:w="1608" w:type="dxa"/>
          </w:tcPr>
          <w:p w:rsidR="007536E6" w:rsidRPr="007536E6" w:rsidRDefault="007536E6" w:rsidP="007536E6">
            <w:pPr>
              <w:keepLines/>
              <w:spacing w:after="0" w:line="240" w:lineRule="auto"/>
              <w:ind w:left="720"/>
              <w:rPr>
                <w:rFonts w:ascii="Arial Narrow" w:hAnsi="Arial Narrow" w:cs="Tahoma"/>
                <w:sz w:val="18"/>
                <w:szCs w:val="17"/>
              </w:rPr>
            </w:pPr>
          </w:p>
        </w:tc>
      </w:tr>
    </w:tbl>
    <w:p w:rsidR="00AA4FBE" w:rsidRDefault="00AA4FBE"/>
    <w:sectPr w:rsidR="00AA4FBE" w:rsidSect="00245DC4">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C9" w:rsidRDefault="008C74C9" w:rsidP="007536E6">
      <w:pPr>
        <w:spacing w:after="0" w:line="240" w:lineRule="auto"/>
      </w:pPr>
      <w:r>
        <w:separator/>
      </w:r>
    </w:p>
  </w:endnote>
  <w:endnote w:type="continuationSeparator" w:id="0">
    <w:p w:rsidR="008C74C9" w:rsidRDefault="008C74C9" w:rsidP="0075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C2205D" w:rsidRPr="008B5CF1" w:rsidRDefault="00DE72D3" w:rsidP="005C3D71">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w:t>
        </w:r>
        <w:r w:rsidR="00245DC4" w:rsidRPr="00245DC4">
          <w:rPr>
            <w:rFonts w:ascii="Arial Narrow" w:hAnsi="Arial Narrow" w:cs="Arial"/>
            <w:color w:val="7F7F7F" w:themeColor="text1" w:themeTint="80"/>
            <w:sz w:val="20"/>
            <w:szCs w:val="20"/>
          </w:rPr>
          <w:t>JABG</w:t>
        </w:r>
        <w:r w:rsidRPr="00245DC4">
          <w:rPr>
            <w:rFonts w:ascii="Arial Narrow" w:hAnsi="Arial Narrow" w:cs="Arial"/>
            <w:color w:val="7F7F7F" w:themeColor="text1" w:themeTint="80"/>
            <w:sz w:val="20"/>
            <w:szCs w:val="20"/>
          </w:rPr>
          <w:t xml:space="preserve"> Performance Measures</w:t>
        </w:r>
        <w:r w:rsidR="00245DC4" w:rsidRPr="00245DC4">
          <w:rPr>
            <w:rFonts w:ascii="Arial Narrow" w:hAnsi="Arial Narrow" w:cs="Arial"/>
            <w:color w:val="7F7F7F" w:themeColor="text1" w:themeTint="80"/>
            <w:sz w:val="20"/>
            <w:szCs w:val="20"/>
          </w:rPr>
          <w:t>: Graduated Sanctions</w:t>
        </w:r>
        <w:r>
          <w:rPr>
            <w:rFonts w:ascii="Arial" w:hAnsi="Arial" w:cs="Arial"/>
            <w:sz w:val="20"/>
            <w:szCs w:val="20"/>
          </w:rPr>
          <w:tab/>
        </w:r>
        <w:r w:rsidR="005C3D71">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5A3825">
          <w:rPr>
            <w:rFonts w:ascii="Arial Narrow" w:hAnsi="Arial Narrow" w:cs="Arial"/>
            <w:noProof/>
          </w:rPr>
          <w:t>6</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C9" w:rsidRDefault="008C74C9" w:rsidP="007536E6">
      <w:pPr>
        <w:spacing w:after="0" w:line="240" w:lineRule="auto"/>
      </w:pPr>
      <w:r>
        <w:separator/>
      </w:r>
    </w:p>
  </w:footnote>
  <w:footnote w:type="continuationSeparator" w:id="0">
    <w:p w:rsidR="008C74C9" w:rsidRDefault="008C74C9" w:rsidP="0075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6E6" w:rsidRPr="007536E6" w:rsidRDefault="007536E6" w:rsidP="007536E6">
    <w:pPr>
      <w:keepNext/>
      <w:spacing w:after="0" w:line="240" w:lineRule="auto"/>
      <w:jc w:val="center"/>
      <w:outlineLvl w:val="0"/>
      <w:rPr>
        <w:rFonts w:ascii="Arial Bold" w:eastAsia="Times New Roman" w:hAnsi="Arial Bold" w:cs="Times New Roman"/>
        <w:caps/>
        <w:kern w:val="28"/>
        <w:sz w:val="24"/>
        <w:szCs w:val="24"/>
      </w:rPr>
    </w:pPr>
    <w:r w:rsidRPr="007536E6">
      <w:rPr>
        <w:rFonts w:ascii="Arial Bold" w:eastAsia="Times New Roman" w:hAnsi="Arial Bold" w:cs="Times New Roman"/>
        <w:caps/>
        <w:kern w:val="28"/>
        <w:sz w:val="24"/>
        <w:szCs w:val="24"/>
      </w:rPr>
      <w:t xml:space="preserve">OFFICE OF JUVENILE JUSTICE AND DELINQUENCY PREVENTION </w:t>
    </w:r>
  </w:p>
  <w:p w:rsidR="007536E6" w:rsidRPr="007536E6" w:rsidRDefault="007536E6" w:rsidP="007536E6">
    <w:pPr>
      <w:keepNext/>
      <w:spacing w:before="100" w:after="100" w:line="240" w:lineRule="auto"/>
      <w:jc w:val="center"/>
      <w:outlineLvl w:val="0"/>
      <w:rPr>
        <w:rFonts w:ascii="Arial Bold" w:eastAsia="Times New Roman" w:hAnsi="Arial Bold" w:cs="Times New Roman"/>
        <w:caps/>
        <w:color w:val="003366"/>
        <w:kern w:val="28"/>
        <w:sz w:val="24"/>
        <w:szCs w:val="24"/>
      </w:rPr>
    </w:pPr>
    <w:r w:rsidRPr="007536E6">
      <w:rPr>
        <w:rFonts w:ascii="Arial Bold" w:eastAsia="Times New Roman" w:hAnsi="Arial Bold" w:cs="Times New Roman"/>
        <w:caps/>
        <w:color w:val="003366"/>
        <w:kern w:val="28"/>
        <w:sz w:val="24"/>
        <w:szCs w:val="24"/>
      </w:rPr>
      <w:t>Juvenile Accountability Block Grant Program</w:t>
    </w:r>
  </w:p>
  <w:p w:rsidR="00C2205D" w:rsidRPr="007536E6" w:rsidRDefault="007536E6" w:rsidP="007536E6">
    <w:pPr>
      <w:keepNext/>
      <w:spacing w:before="240" w:after="240" w:line="240" w:lineRule="auto"/>
      <w:jc w:val="center"/>
      <w:outlineLvl w:val="0"/>
      <w:rPr>
        <w:rFonts w:ascii="Arial Bold" w:eastAsia="Times New Roman" w:hAnsi="Arial Bold" w:cs="Times New Roman"/>
        <w:b/>
        <w:caps/>
        <w:kern w:val="28"/>
        <w:szCs w:val="24"/>
      </w:rPr>
    </w:pPr>
    <w:r w:rsidRPr="007536E6">
      <w:rPr>
        <w:rFonts w:ascii="Arial Bold" w:eastAsia="Times New Roman" w:hAnsi="Arial Bold" w:cs="Times New Roman"/>
        <w:b/>
        <w:caps/>
        <w:kern w:val="28"/>
        <w:szCs w:val="24"/>
      </w:rPr>
      <w:t xml:space="preserve">PURPOSE Area: </w:t>
    </w:r>
    <w:r w:rsidRPr="007536E6">
      <w:rPr>
        <w:rFonts w:ascii="Arial Bold" w:eastAsia="Times New Roman" w:hAnsi="Arial Bold" w:cs="Times New Roman"/>
        <w:b/>
        <w:caps/>
        <w:color w:val="003366"/>
        <w:kern w:val="28"/>
        <w:szCs w:val="24"/>
      </w:rPr>
      <w:t xml:space="preserve">Graduated Sanctions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184D"/>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4D08"/>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B3E3F"/>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09D"/>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C011B"/>
    <w:multiLevelType w:val="hybridMultilevel"/>
    <w:tmpl w:val="4394E4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3E70DA"/>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A4533"/>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E3903"/>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4471A"/>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F5221"/>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74B6E"/>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E4FB6"/>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C7BBD"/>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87BB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911A9"/>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64C2B"/>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E0F25"/>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74C1F"/>
    <w:multiLevelType w:val="hybridMultilevel"/>
    <w:tmpl w:val="EB50172A"/>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B82F9C"/>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85E81"/>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86DDB"/>
    <w:multiLevelType w:val="hybridMultilevel"/>
    <w:tmpl w:val="76E6D4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F25917"/>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869E8"/>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64E8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E3435"/>
    <w:multiLevelType w:val="hybridMultilevel"/>
    <w:tmpl w:val="1E981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C79F1"/>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56F41"/>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B22AC"/>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C621D"/>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903DF"/>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1360E"/>
    <w:multiLevelType w:val="hybridMultilevel"/>
    <w:tmpl w:val="00424D04"/>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8"/>
  </w:num>
  <w:num w:numId="3">
    <w:abstractNumId w:val="6"/>
  </w:num>
  <w:num w:numId="4">
    <w:abstractNumId w:val="22"/>
  </w:num>
  <w:num w:numId="5">
    <w:abstractNumId w:val="8"/>
  </w:num>
  <w:num w:numId="6">
    <w:abstractNumId w:val="27"/>
  </w:num>
  <w:num w:numId="7">
    <w:abstractNumId w:val="23"/>
  </w:num>
  <w:num w:numId="8">
    <w:abstractNumId w:val="9"/>
  </w:num>
  <w:num w:numId="9">
    <w:abstractNumId w:val="10"/>
  </w:num>
  <w:num w:numId="10">
    <w:abstractNumId w:val="14"/>
  </w:num>
  <w:num w:numId="11">
    <w:abstractNumId w:val="5"/>
  </w:num>
  <w:num w:numId="12">
    <w:abstractNumId w:val="7"/>
  </w:num>
  <w:num w:numId="13">
    <w:abstractNumId w:val="21"/>
  </w:num>
  <w:num w:numId="14">
    <w:abstractNumId w:val="12"/>
  </w:num>
  <w:num w:numId="15">
    <w:abstractNumId w:val="11"/>
  </w:num>
  <w:num w:numId="16">
    <w:abstractNumId w:val="15"/>
  </w:num>
  <w:num w:numId="17">
    <w:abstractNumId w:val="3"/>
  </w:num>
  <w:num w:numId="18">
    <w:abstractNumId w:val="16"/>
  </w:num>
  <w:num w:numId="19">
    <w:abstractNumId w:val="0"/>
  </w:num>
  <w:num w:numId="20">
    <w:abstractNumId w:val="29"/>
  </w:num>
  <w:num w:numId="21">
    <w:abstractNumId w:val="19"/>
  </w:num>
  <w:num w:numId="22">
    <w:abstractNumId w:val="28"/>
  </w:num>
  <w:num w:numId="23">
    <w:abstractNumId w:val="25"/>
  </w:num>
  <w:num w:numId="24">
    <w:abstractNumId w:val="13"/>
  </w:num>
  <w:num w:numId="25">
    <w:abstractNumId w:val="2"/>
  </w:num>
  <w:num w:numId="26">
    <w:abstractNumId w:val="26"/>
  </w:num>
  <w:num w:numId="27">
    <w:abstractNumId w:val="24"/>
  </w:num>
  <w:num w:numId="28">
    <w:abstractNumId w:val="20"/>
  </w:num>
  <w:num w:numId="29">
    <w:abstractNumId w:val="4"/>
  </w:num>
  <w:num w:numId="30">
    <w:abstractNumId w:val="3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E6"/>
    <w:rsid w:val="001C3B48"/>
    <w:rsid w:val="00245DC4"/>
    <w:rsid w:val="004F40D9"/>
    <w:rsid w:val="005A3825"/>
    <w:rsid w:val="005C3D71"/>
    <w:rsid w:val="007536E6"/>
    <w:rsid w:val="007755E5"/>
    <w:rsid w:val="008C74C9"/>
    <w:rsid w:val="00AA4FBE"/>
    <w:rsid w:val="00AE7D21"/>
    <w:rsid w:val="00DE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78D57B-23DF-4C5D-8BCD-77A8D74D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536E6"/>
    <w:pPr>
      <w:spacing w:after="0" w:line="240" w:lineRule="auto"/>
    </w:pPr>
  </w:style>
  <w:style w:type="paragraph" w:styleId="Header">
    <w:name w:val="header"/>
    <w:basedOn w:val="Normal"/>
    <w:link w:val="HeaderChar"/>
    <w:uiPriority w:val="99"/>
    <w:unhideWhenUsed/>
    <w:rsid w:val="00753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E6"/>
  </w:style>
  <w:style w:type="paragraph" w:styleId="Footer">
    <w:name w:val="footer"/>
    <w:basedOn w:val="Normal"/>
    <w:link w:val="FooterChar"/>
    <w:uiPriority w:val="99"/>
    <w:unhideWhenUsed/>
    <w:rsid w:val="0075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E6"/>
  </w:style>
  <w:style w:type="paragraph" w:styleId="ListParagraph">
    <w:name w:val="List Paragraph"/>
    <w:basedOn w:val="Normal"/>
    <w:uiPriority w:val="34"/>
    <w:qFormat/>
    <w:rsid w:val="005A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2021-07-23T12:14:00Z</dcterms:created>
  <dcterms:modified xsi:type="dcterms:W3CDTF">2021-07-23T12:14:00Z</dcterms:modified>
</cp:coreProperties>
</file>