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0A3" w:rsidRPr="002170A3" w:rsidRDefault="002170A3" w:rsidP="002170A3">
      <w:pPr>
        <w:spacing w:after="0" w:line="240" w:lineRule="auto"/>
        <w:jc w:val="center"/>
        <w:rPr>
          <w:rFonts w:ascii="Arial Narrow" w:hAnsi="Arial Narrow"/>
        </w:rPr>
      </w:pPr>
      <w:bookmarkStart w:id="0" w:name="_GoBack"/>
      <w:bookmarkEnd w:id="0"/>
      <w:r w:rsidRPr="002170A3">
        <w:rPr>
          <w:rFonts w:ascii="Arial Narrow" w:hAnsi="Arial Narrow" w:cs="Tahoma"/>
          <w:b/>
          <w:bCs/>
          <w:color w:val="FF0000"/>
          <w:sz w:val="17"/>
          <w:szCs w:val="17"/>
        </w:rPr>
        <w:t>Grantees are required to select at least one Output measure for each Program Area selected.</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500"/>
        <w:gridCol w:w="1932"/>
        <w:gridCol w:w="3669"/>
        <w:gridCol w:w="2889"/>
        <w:gridCol w:w="1960"/>
      </w:tblGrid>
      <w:tr w:rsidR="002170A3" w:rsidRPr="002170A3" w:rsidTr="002170A3">
        <w:trPr>
          <w:cantSplit/>
          <w:tblHeader/>
          <w:jc w:val="center"/>
        </w:trPr>
        <w:tc>
          <w:tcPr>
            <w:tcW w:w="521" w:type="dxa"/>
            <w:shd w:val="clear" w:color="auto" w:fill="003366"/>
            <w:vAlign w:val="center"/>
          </w:tcPr>
          <w:p w:rsidR="002170A3" w:rsidRPr="002170A3" w:rsidRDefault="002170A3" w:rsidP="002170A3">
            <w:pPr>
              <w:keepLines/>
              <w:spacing w:after="0" w:line="240" w:lineRule="auto"/>
              <w:jc w:val="center"/>
              <w:rPr>
                <w:rFonts w:ascii="Arial Narrow" w:hAnsi="Arial Narrow" w:cs="Tahoma"/>
                <w:sz w:val="20"/>
                <w:szCs w:val="18"/>
              </w:rPr>
            </w:pPr>
            <w:r w:rsidRPr="002170A3">
              <w:rPr>
                <w:rFonts w:ascii="Arial Narrow" w:hAnsi="Arial Narrow" w:cs="Tahoma"/>
                <w:sz w:val="20"/>
                <w:szCs w:val="18"/>
              </w:rPr>
              <w:t>#</w:t>
            </w:r>
          </w:p>
        </w:tc>
        <w:tc>
          <w:tcPr>
            <w:tcW w:w="2001" w:type="dxa"/>
            <w:shd w:val="clear" w:color="auto" w:fill="003366"/>
            <w:vAlign w:val="center"/>
          </w:tcPr>
          <w:p w:rsidR="002170A3" w:rsidRPr="002170A3" w:rsidRDefault="002170A3" w:rsidP="002170A3">
            <w:pPr>
              <w:keepLines/>
              <w:spacing w:after="0" w:line="240" w:lineRule="auto"/>
              <w:jc w:val="center"/>
              <w:rPr>
                <w:rFonts w:ascii="Arial Narrow" w:hAnsi="Arial Narrow" w:cs="Tahoma"/>
                <w:sz w:val="20"/>
                <w:szCs w:val="18"/>
              </w:rPr>
            </w:pPr>
            <w:r w:rsidRPr="002170A3">
              <w:rPr>
                <w:rFonts w:ascii="Arial Narrow" w:hAnsi="Arial Narrow" w:cs="Tahoma"/>
                <w:b/>
                <w:bCs/>
                <w:sz w:val="20"/>
                <w:szCs w:val="18"/>
              </w:rPr>
              <w:t>Output Measure</w:t>
            </w:r>
          </w:p>
        </w:tc>
        <w:tc>
          <w:tcPr>
            <w:tcW w:w="3868" w:type="dxa"/>
            <w:shd w:val="clear" w:color="auto" w:fill="003366"/>
            <w:vAlign w:val="center"/>
          </w:tcPr>
          <w:p w:rsidR="002170A3" w:rsidRPr="002170A3" w:rsidRDefault="002170A3" w:rsidP="002170A3">
            <w:pPr>
              <w:keepLines/>
              <w:spacing w:after="0" w:line="240" w:lineRule="auto"/>
              <w:jc w:val="center"/>
              <w:rPr>
                <w:rFonts w:ascii="Arial Narrow" w:hAnsi="Arial Narrow" w:cs="Tahoma"/>
                <w:sz w:val="20"/>
                <w:szCs w:val="18"/>
              </w:rPr>
            </w:pPr>
            <w:r w:rsidRPr="002170A3">
              <w:rPr>
                <w:rFonts w:ascii="Arial Narrow" w:hAnsi="Arial Narrow" w:cs="Tahoma"/>
                <w:b/>
                <w:bCs/>
                <w:sz w:val="20"/>
                <w:szCs w:val="18"/>
              </w:rPr>
              <w:t>Definition</w:t>
            </w:r>
          </w:p>
        </w:tc>
        <w:tc>
          <w:tcPr>
            <w:tcW w:w="2889" w:type="dxa"/>
            <w:shd w:val="clear" w:color="auto" w:fill="003366"/>
            <w:noWrap/>
            <w:vAlign w:val="center"/>
          </w:tcPr>
          <w:p w:rsidR="002170A3" w:rsidRPr="002170A3" w:rsidRDefault="002170A3" w:rsidP="002170A3">
            <w:pPr>
              <w:keepLines/>
              <w:spacing w:after="0" w:line="240" w:lineRule="auto"/>
              <w:jc w:val="center"/>
              <w:rPr>
                <w:rFonts w:ascii="Arial Narrow" w:hAnsi="Arial Narrow" w:cs="Tahoma"/>
                <w:sz w:val="20"/>
                <w:szCs w:val="18"/>
              </w:rPr>
            </w:pPr>
            <w:r w:rsidRPr="002170A3">
              <w:rPr>
                <w:rFonts w:ascii="Arial Narrow" w:hAnsi="Arial Narrow" w:cs="Tahoma"/>
                <w:b/>
                <w:sz w:val="20"/>
                <w:szCs w:val="18"/>
              </w:rPr>
              <w:t>Data Grantee Reports</w:t>
            </w:r>
          </w:p>
        </w:tc>
        <w:tc>
          <w:tcPr>
            <w:tcW w:w="2061" w:type="dxa"/>
            <w:shd w:val="clear" w:color="auto" w:fill="003366"/>
          </w:tcPr>
          <w:p w:rsidR="002170A3" w:rsidRPr="002170A3" w:rsidRDefault="002170A3" w:rsidP="002170A3">
            <w:pPr>
              <w:keepLines/>
              <w:spacing w:after="0" w:line="240" w:lineRule="auto"/>
              <w:jc w:val="center"/>
              <w:rPr>
                <w:rFonts w:ascii="Arial Narrow" w:hAnsi="Arial Narrow" w:cs="Tahoma"/>
                <w:b/>
                <w:sz w:val="20"/>
                <w:szCs w:val="18"/>
              </w:rPr>
            </w:pPr>
            <w:r w:rsidRPr="002170A3">
              <w:rPr>
                <w:rFonts w:ascii="Arial Narrow" w:hAnsi="Arial Narrow" w:cs="Tahoma"/>
                <w:b/>
                <w:sz w:val="20"/>
                <w:szCs w:val="18"/>
              </w:rPr>
              <w:t>Record Data Here</w:t>
            </w:r>
          </w:p>
        </w:tc>
      </w:tr>
      <w:tr w:rsidR="002170A3" w:rsidRPr="002170A3" w:rsidTr="002170A3">
        <w:trPr>
          <w:cantSplit/>
          <w:trHeight w:val="1620"/>
          <w:jc w:val="center"/>
        </w:trPr>
        <w:tc>
          <w:tcPr>
            <w:tcW w:w="521"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2001" w:type="dxa"/>
          </w:tcPr>
          <w:p w:rsidR="002170A3" w:rsidRPr="002170A3" w:rsidRDefault="002170A3" w:rsidP="002170A3">
            <w:pPr>
              <w:keepLines/>
              <w:spacing w:after="0" w:line="240" w:lineRule="auto"/>
              <w:rPr>
                <w:rFonts w:ascii="Arial Narrow" w:hAnsi="Arial Narrow" w:cs="Tahoma"/>
                <w:b/>
                <w:bCs/>
                <w:sz w:val="18"/>
                <w:szCs w:val="18"/>
              </w:rPr>
            </w:pPr>
            <w:r w:rsidRPr="002170A3">
              <w:rPr>
                <w:rFonts w:ascii="Arial Narrow" w:hAnsi="Arial Narrow" w:cs="Tahoma"/>
                <w:b/>
                <w:bCs/>
                <w:sz w:val="18"/>
                <w:szCs w:val="18"/>
              </w:rPr>
              <w:t>Amount of JABG/Tribal JADG funds awarded for system improvement</w:t>
            </w:r>
          </w:p>
          <w:p w:rsidR="002170A3" w:rsidRPr="002170A3" w:rsidRDefault="002170A3" w:rsidP="002170A3">
            <w:pPr>
              <w:keepLines/>
              <w:spacing w:after="0" w:line="240" w:lineRule="auto"/>
              <w:rPr>
                <w:rFonts w:ascii="Arial Narrow" w:hAnsi="Arial Narrow" w:cs="Tahoma"/>
                <w:b/>
                <w:bCs/>
                <w:sz w:val="18"/>
                <w:szCs w:val="18"/>
              </w:rPr>
            </w:pPr>
          </w:p>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7"/>
              </w:rPr>
              <w:t>(Mandatory for System Improvement only)</w:t>
            </w:r>
          </w:p>
        </w:tc>
        <w:tc>
          <w:tcPr>
            <w:tcW w:w="3868"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The amount of JABG/Tribal JADG funds in whole dollars that are awarded for System Improvement during the reporting period.  Program records are the preferred source.</w:t>
            </w:r>
          </w:p>
        </w:tc>
        <w:tc>
          <w:tcPr>
            <w:tcW w:w="2889" w:type="dxa"/>
          </w:tcPr>
          <w:p w:rsidR="002170A3" w:rsidRPr="002170A3" w:rsidRDefault="002170A3" w:rsidP="002170A3">
            <w:pPr>
              <w:keepLines/>
              <w:numPr>
                <w:ilvl w:val="0"/>
                <w:numId w:val="15"/>
              </w:numPr>
              <w:tabs>
                <w:tab w:val="left" w:pos="288"/>
              </w:tabs>
              <w:spacing w:after="0" w:line="240" w:lineRule="auto"/>
              <w:ind w:left="287" w:hanging="270"/>
              <w:rPr>
                <w:rFonts w:ascii="Arial Narrow" w:hAnsi="Arial Narrow" w:cs="Tahoma"/>
                <w:sz w:val="18"/>
                <w:szCs w:val="18"/>
              </w:rPr>
            </w:pPr>
            <w:r w:rsidRPr="002170A3">
              <w:rPr>
                <w:rFonts w:ascii="Arial Narrow" w:hAnsi="Arial Narrow" w:cs="Tahoma"/>
                <w:sz w:val="18"/>
                <w:szCs w:val="18"/>
              </w:rPr>
              <w:t>Funds awarded to program for services</w:t>
            </w:r>
          </w:p>
        </w:tc>
        <w:tc>
          <w:tcPr>
            <w:tcW w:w="2061"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521"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2001"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and percent of staff trained on drug court procedures</w:t>
            </w:r>
          </w:p>
        </w:tc>
        <w:tc>
          <w:tcPr>
            <w:tcW w:w="3868"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bCs/>
                <w:sz w:val="18"/>
                <w:szCs w:val="18"/>
              </w:rPr>
              <w:t>Measure of system accountability based on the idea that properly trained staff can provide better service.  Appropriate for any grantee working with or administering a drug court.  Report the raw number of staff to receive formal training on drug court related topics.  Percent is the raw number divided by the total number of staff in the pool from which those trained were selected.  For example, if 10 staff from a probation department were trained, the total pool would be the staff from the entire probation department.</w:t>
            </w:r>
          </w:p>
        </w:tc>
        <w:tc>
          <w:tcPr>
            <w:tcW w:w="2889" w:type="dxa"/>
          </w:tcPr>
          <w:p w:rsidR="002170A3" w:rsidRPr="002170A3" w:rsidRDefault="002170A3" w:rsidP="002170A3">
            <w:pPr>
              <w:keepLines/>
              <w:numPr>
                <w:ilvl w:val="0"/>
                <w:numId w:val="16"/>
              </w:numPr>
              <w:tabs>
                <w:tab w:val="left" w:pos="288"/>
              </w:tabs>
              <w:spacing w:after="0" w:line="240" w:lineRule="auto"/>
              <w:ind w:left="287" w:hanging="270"/>
              <w:rPr>
                <w:rFonts w:ascii="Arial Narrow" w:hAnsi="Arial Narrow" w:cs="Tahoma"/>
                <w:sz w:val="18"/>
                <w:szCs w:val="18"/>
              </w:rPr>
            </w:pPr>
            <w:r w:rsidRPr="002170A3">
              <w:rPr>
                <w:rFonts w:ascii="Arial Narrow" w:hAnsi="Arial Narrow" w:cs="Tahoma"/>
                <w:sz w:val="18"/>
                <w:szCs w:val="18"/>
              </w:rPr>
              <w:t>Number of staff trained</w:t>
            </w:r>
          </w:p>
          <w:p w:rsidR="002170A3" w:rsidRPr="002170A3" w:rsidRDefault="002170A3" w:rsidP="002170A3">
            <w:pPr>
              <w:keepLines/>
              <w:numPr>
                <w:ilvl w:val="0"/>
                <w:numId w:val="16"/>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staff</w:t>
            </w:r>
          </w:p>
          <w:p w:rsidR="002170A3" w:rsidRPr="002170A3" w:rsidRDefault="002170A3" w:rsidP="002170A3">
            <w:pPr>
              <w:keepLines/>
              <w:numPr>
                <w:ilvl w:val="0"/>
                <w:numId w:val="16"/>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Percent (A/B)</w:t>
            </w:r>
          </w:p>
        </w:tc>
        <w:tc>
          <w:tcPr>
            <w:tcW w:w="2061"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trHeight w:val="2637"/>
          <w:jc w:val="center"/>
        </w:trPr>
        <w:tc>
          <w:tcPr>
            <w:tcW w:w="521" w:type="dxa"/>
          </w:tcPr>
          <w:p w:rsidR="002170A3" w:rsidRPr="00B260C8" w:rsidRDefault="002170A3" w:rsidP="00B260C8">
            <w:pPr>
              <w:pStyle w:val="ListParagraph"/>
              <w:numPr>
                <w:ilvl w:val="0"/>
                <w:numId w:val="36"/>
              </w:numPr>
              <w:spacing w:after="0" w:line="240" w:lineRule="auto"/>
              <w:jc w:val="center"/>
              <w:rPr>
                <w:rFonts w:ascii="Arial Narrow" w:hAnsi="Arial Narrow" w:cs="Tahoma"/>
                <w:sz w:val="18"/>
                <w:szCs w:val="18"/>
              </w:rPr>
            </w:pPr>
          </w:p>
        </w:tc>
        <w:tc>
          <w:tcPr>
            <w:tcW w:w="2001"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of hours of training on drug court procedures offered</w:t>
            </w:r>
          </w:p>
        </w:tc>
        <w:tc>
          <w:tcPr>
            <w:tcW w:w="3868"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system accountability based on the idea that properly trained staff can provide better service.  Appropriate for any grantee working with or administering a drug court.  Report the raw number of hours of training offered to staff during the reporting period.  Include in-house and external training and any training medium as long as it can be verified that the target staff were aware of the training opportunity and were able to avail themselves of it (e.g., the training was not cost prohibitive or offered at a time that conflicted with other necessary duties).  Include training that started during the reporting period even if it did not conclude before the end of the reporting period.</w:t>
            </w:r>
          </w:p>
        </w:tc>
        <w:tc>
          <w:tcPr>
            <w:tcW w:w="2889" w:type="dxa"/>
          </w:tcPr>
          <w:p w:rsidR="002170A3" w:rsidRPr="002170A3" w:rsidRDefault="002170A3" w:rsidP="002170A3">
            <w:pPr>
              <w:keepLines/>
              <w:numPr>
                <w:ilvl w:val="0"/>
                <w:numId w:val="17"/>
              </w:numPr>
              <w:tabs>
                <w:tab w:val="left" w:pos="288"/>
              </w:tabs>
              <w:spacing w:after="0" w:line="240" w:lineRule="auto"/>
              <w:ind w:left="377"/>
              <w:rPr>
                <w:rFonts w:ascii="Arial Narrow" w:hAnsi="Arial Narrow" w:cs="Tahoma"/>
                <w:sz w:val="18"/>
                <w:szCs w:val="18"/>
              </w:rPr>
            </w:pPr>
            <w:r w:rsidRPr="002170A3">
              <w:rPr>
                <w:rFonts w:ascii="Arial Narrow" w:hAnsi="Arial Narrow" w:cs="Tahoma"/>
                <w:sz w:val="18"/>
                <w:szCs w:val="18"/>
              </w:rPr>
              <w:t>Number of hours of training offered</w:t>
            </w:r>
          </w:p>
          <w:p w:rsidR="002170A3" w:rsidRPr="002170A3" w:rsidRDefault="002170A3" w:rsidP="002170A3">
            <w:pPr>
              <w:keepLines/>
              <w:tabs>
                <w:tab w:val="left" w:pos="288"/>
              </w:tabs>
              <w:spacing w:after="0" w:line="240" w:lineRule="auto"/>
              <w:ind w:left="288" w:hanging="288"/>
              <w:rPr>
                <w:rFonts w:ascii="Arial Narrow" w:hAnsi="Arial Narrow" w:cs="Tahoma"/>
                <w:sz w:val="18"/>
                <w:szCs w:val="18"/>
              </w:rPr>
            </w:pPr>
          </w:p>
        </w:tc>
        <w:tc>
          <w:tcPr>
            <w:tcW w:w="2061"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521"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2001"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and percent of youth charged with drug offenses, who are assessed for participation in the drug court</w:t>
            </w:r>
          </w:p>
        </w:tc>
        <w:tc>
          <w:tcPr>
            <w:tcW w:w="3868"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program operation level.  Appropriate for any drug court program, or larger jurisdiction that includes a drug court.  Report the raw number of arrests for any type of drug-related offense that results in the juvenile offender being assessed for participation in the drug court.  Include face-to-face assessments, review of records, or any other process used to determine appropriateness for drug court participation. The unit of measurement is the case, not the individual youth.  Percent is the raw number divided by the total number of arrests of juveniles for drug-related offenses.</w:t>
            </w:r>
          </w:p>
        </w:tc>
        <w:tc>
          <w:tcPr>
            <w:tcW w:w="2889" w:type="dxa"/>
          </w:tcPr>
          <w:p w:rsidR="002170A3" w:rsidRPr="002170A3" w:rsidRDefault="002170A3" w:rsidP="002170A3">
            <w:pPr>
              <w:keepLines/>
              <w:numPr>
                <w:ilvl w:val="0"/>
                <w:numId w:val="18"/>
              </w:numPr>
              <w:tabs>
                <w:tab w:val="left" w:pos="288"/>
              </w:tabs>
              <w:spacing w:after="0" w:line="240" w:lineRule="auto"/>
              <w:ind w:left="377"/>
              <w:rPr>
                <w:rFonts w:ascii="Arial Narrow" w:hAnsi="Arial Narrow" w:cs="Tahoma"/>
                <w:sz w:val="18"/>
                <w:szCs w:val="18"/>
              </w:rPr>
            </w:pPr>
            <w:r w:rsidRPr="002170A3">
              <w:rPr>
                <w:rFonts w:ascii="Arial Narrow" w:hAnsi="Arial Narrow" w:cs="Tahoma"/>
                <w:sz w:val="18"/>
                <w:szCs w:val="18"/>
              </w:rPr>
              <w:t>Number of drug court assessments</w:t>
            </w:r>
          </w:p>
          <w:p w:rsidR="002170A3" w:rsidRPr="002170A3" w:rsidRDefault="002170A3" w:rsidP="002170A3">
            <w:pPr>
              <w:keepLines/>
              <w:numPr>
                <w:ilvl w:val="0"/>
                <w:numId w:val="18"/>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drug-related arrests of juveniles</w:t>
            </w:r>
          </w:p>
          <w:p w:rsidR="002170A3" w:rsidRPr="002170A3" w:rsidRDefault="002170A3" w:rsidP="002170A3">
            <w:pPr>
              <w:keepLines/>
              <w:numPr>
                <w:ilvl w:val="0"/>
                <w:numId w:val="18"/>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Percent (A/B)</w:t>
            </w:r>
          </w:p>
        </w:tc>
        <w:tc>
          <w:tcPr>
            <w:tcW w:w="2061"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521"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2001"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and percent of families of youth charged with drug offenses, who are assessed for participation in the drug court</w:t>
            </w:r>
          </w:p>
        </w:tc>
        <w:tc>
          <w:tcPr>
            <w:tcW w:w="3868"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program operation level.  In part, based on the idea that family participation has an effect on youth outcomes.  Appropriate for any drug court program, or larger jurisdiction that includes a drug court.  Report the raw number of families who have at least one member (other than the offender who is participating in the drug court) assessed through the drug court.  Percent is the raw number divided by the number of youth involved in the drug court.</w:t>
            </w:r>
          </w:p>
        </w:tc>
        <w:tc>
          <w:tcPr>
            <w:tcW w:w="2889" w:type="dxa"/>
          </w:tcPr>
          <w:p w:rsidR="002170A3" w:rsidRPr="002170A3" w:rsidRDefault="002170A3" w:rsidP="002170A3">
            <w:pPr>
              <w:keepLines/>
              <w:numPr>
                <w:ilvl w:val="0"/>
                <w:numId w:val="19"/>
              </w:numPr>
              <w:tabs>
                <w:tab w:val="left" w:pos="288"/>
              </w:tabs>
              <w:spacing w:after="0" w:line="240" w:lineRule="auto"/>
              <w:ind w:left="377"/>
              <w:rPr>
                <w:rFonts w:ascii="Arial Narrow" w:hAnsi="Arial Narrow" w:cs="Tahoma"/>
                <w:sz w:val="18"/>
                <w:szCs w:val="18"/>
              </w:rPr>
            </w:pPr>
            <w:r w:rsidRPr="002170A3">
              <w:rPr>
                <w:rFonts w:ascii="Arial Narrow" w:hAnsi="Arial Narrow" w:cs="Tahoma"/>
                <w:sz w:val="18"/>
                <w:szCs w:val="18"/>
              </w:rPr>
              <w:t>Number of families assessed</w:t>
            </w:r>
          </w:p>
          <w:p w:rsidR="002170A3" w:rsidRPr="002170A3" w:rsidRDefault="002170A3" w:rsidP="002170A3">
            <w:pPr>
              <w:keepLines/>
              <w:numPr>
                <w:ilvl w:val="0"/>
                <w:numId w:val="19"/>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youth enrolled in the drug court</w:t>
            </w:r>
          </w:p>
          <w:p w:rsidR="002170A3" w:rsidRPr="002170A3" w:rsidRDefault="002170A3" w:rsidP="002170A3">
            <w:pPr>
              <w:keepLines/>
              <w:numPr>
                <w:ilvl w:val="0"/>
                <w:numId w:val="19"/>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Percent (A/B)</w:t>
            </w:r>
          </w:p>
        </w:tc>
        <w:tc>
          <w:tcPr>
            <w:tcW w:w="2061"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521"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2001"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of agencies involved in the drug court</w:t>
            </w:r>
          </w:p>
        </w:tc>
        <w:tc>
          <w:tcPr>
            <w:tcW w:w="3868"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system accountability based on the idea that specialty court success is based on providing coordinated services.   Appropriate for any drug court program.  Report the raw number of agencies or groups with which the drug court (or drug court lead agency) has a formal partnership agreement.  Such agreements can take the form of a memorandum of understanding, formal procedures for referrals between the agency and the drug court, or any other document that outlines how the agency will work with the drug court.</w:t>
            </w:r>
          </w:p>
        </w:tc>
        <w:tc>
          <w:tcPr>
            <w:tcW w:w="2889" w:type="dxa"/>
          </w:tcPr>
          <w:p w:rsidR="002170A3" w:rsidRPr="002170A3" w:rsidRDefault="002170A3" w:rsidP="002170A3">
            <w:pPr>
              <w:keepLines/>
              <w:numPr>
                <w:ilvl w:val="0"/>
                <w:numId w:val="20"/>
              </w:numPr>
              <w:tabs>
                <w:tab w:val="left" w:pos="288"/>
              </w:tabs>
              <w:spacing w:after="0" w:line="240" w:lineRule="auto"/>
              <w:ind w:left="377"/>
              <w:rPr>
                <w:rFonts w:ascii="Arial Narrow" w:hAnsi="Arial Narrow" w:cs="Tahoma"/>
                <w:sz w:val="18"/>
                <w:szCs w:val="18"/>
              </w:rPr>
            </w:pPr>
            <w:r w:rsidRPr="002170A3">
              <w:rPr>
                <w:rFonts w:ascii="Arial Narrow" w:hAnsi="Arial Narrow" w:cs="Tahoma"/>
                <w:sz w:val="18"/>
                <w:szCs w:val="18"/>
              </w:rPr>
              <w:t>Number of agencies enrolled in the drug court</w:t>
            </w:r>
          </w:p>
        </w:tc>
        <w:tc>
          <w:tcPr>
            <w:tcW w:w="2061"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521"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2001"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of drug court slots</w:t>
            </w:r>
          </w:p>
        </w:tc>
        <w:tc>
          <w:tcPr>
            <w:tcW w:w="3868"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program scope.  Appropriate for any drug court program.  Report the number of youth that can participate in the drug court simultaneously.</w:t>
            </w:r>
          </w:p>
        </w:tc>
        <w:tc>
          <w:tcPr>
            <w:tcW w:w="2889" w:type="dxa"/>
          </w:tcPr>
          <w:p w:rsidR="002170A3" w:rsidRPr="002170A3" w:rsidRDefault="002170A3" w:rsidP="002170A3">
            <w:pPr>
              <w:keepLines/>
              <w:numPr>
                <w:ilvl w:val="0"/>
                <w:numId w:val="21"/>
              </w:numPr>
              <w:tabs>
                <w:tab w:val="left" w:pos="288"/>
              </w:tabs>
              <w:spacing w:after="0" w:line="240" w:lineRule="auto"/>
              <w:ind w:left="377"/>
              <w:rPr>
                <w:rFonts w:ascii="Arial Narrow" w:hAnsi="Arial Narrow" w:cs="Tahoma"/>
                <w:sz w:val="18"/>
                <w:szCs w:val="18"/>
              </w:rPr>
            </w:pPr>
            <w:r w:rsidRPr="002170A3">
              <w:rPr>
                <w:rFonts w:ascii="Arial Narrow" w:hAnsi="Arial Narrow" w:cs="Tahoma"/>
                <w:sz w:val="18"/>
                <w:szCs w:val="18"/>
              </w:rPr>
              <w:t>Number of drug court slots</w:t>
            </w:r>
          </w:p>
        </w:tc>
        <w:tc>
          <w:tcPr>
            <w:tcW w:w="2061"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521" w:type="dxa"/>
          </w:tcPr>
          <w:p w:rsidR="002170A3" w:rsidRPr="00B260C8" w:rsidRDefault="002170A3" w:rsidP="00B260C8">
            <w:pPr>
              <w:pStyle w:val="ListParagraph"/>
              <w:numPr>
                <w:ilvl w:val="0"/>
                <w:numId w:val="36"/>
              </w:numPr>
              <w:spacing w:after="0" w:line="240" w:lineRule="auto"/>
              <w:jc w:val="center"/>
              <w:rPr>
                <w:rFonts w:ascii="Arial Narrow" w:hAnsi="Arial Narrow" w:cs="Tahoma"/>
                <w:sz w:val="18"/>
                <w:szCs w:val="18"/>
              </w:rPr>
            </w:pPr>
          </w:p>
        </w:tc>
        <w:tc>
          <w:tcPr>
            <w:tcW w:w="2001" w:type="dxa"/>
          </w:tcPr>
          <w:p w:rsidR="002170A3" w:rsidRPr="002170A3" w:rsidRDefault="002170A3" w:rsidP="002170A3">
            <w:pPr>
              <w:spacing w:after="0" w:line="240" w:lineRule="auto"/>
              <w:rPr>
                <w:rFonts w:ascii="Arial Narrow" w:hAnsi="Arial Narrow" w:cs="Tahoma"/>
                <w:sz w:val="18"/>
                <w:szCs w:val="18"/>
              </w:rPr>
            </w:pPr>
            <w:r w:rsidRPr="002170A3">
              <w:rPr>
                <w:rFonts w:ascii="Arial Narrow" w:hAnsi="Arial Narrow" w:cs="Tahoma"/>
                <w:sz w:val="18"/>
                <w:szCs w:val="18"/>
              </w:rPr>
              <w:t>Time in days from arrest to enrollment in the drug court</w:t>
            </w:r>
          </w:p>
        </w:tc>
        <w:tc>
          <w:tcPr>
            <w:tcW w:w="3868" w:type="dxa"/>
          </w:tcPr>
          <w:p w:rsidR="002170A3" w:rsidRPr="002170A3" w:rsidRDefault="002170A3" w:rsidP="002170A3">
            <w:pPr>
              <w:spacing w:after="0" w:line="240" w:lineRule="auto"/>
              <w:rPr>
                <w:rFonts w:ascii="Arial Narrow" w:hAnsi="Arial Narrow" w:cs="Tahoma"/>
                <w:sz w:val="18"/>
                <w:szCs w:val="18"/>
              </w:rPr>
            </w:pPr>
            <w:r w:rsidRPr="002170A3">
              <w:rPr>
                <w:rFonts w:ascii="Arial Narrow" w:hAnsi="Arial Narrow" w:cs="Tahoma"/>
                <w:sz w:val="18"/>
                <w:szCs w:val="18"/>
              </w:rPr>
              <w:t xml:space="preserve">Measure of program efficiency.  Appropriate for any drug court program.  Report the raw number of calendar days from the arrest of a juvenile offender to his/her first participation in the drug court.  For example, this might be the youth/family signing a consent to participate, engaging in a drug court assessment, or a meeting between the family and the drug court staff to explain the requirements of the drug court.     </w:t>
            </w:r>
          </w:p>
        </w:tc>
        <w:tc>
          <w:tcPr>
            <w:tcW w:w="2889" w:type="dxa"/>
          </w:tcPr>
          <w:p w:rsidR="002170A3" w:rsidRPr="002170A3" w:rsidRDefault="002170A3" w:rsidP="002170A3">
            <w:pPr>
              <w:keepLines/>
              <w:numPr>
                <w:ilvl w:val="0"/>
                <w:numId w:val="22"/>
              </w:numPr>
              <w:tabs>
                <w:tab w:val="left" w:pos="288"/>
              </w:tabs>
              <w:spacing w:after="0" w:line="240" w:lineRule="auto"/>
              <w:ind w:left="377"/>
              <w:rPr>
                <w:rFonts w:ascii="Arial Narrow" w:hAnsi="Arial Narrow" w:cs="Tahoma"/>
                <w:sz w:val="18"/>
                <w:szCs w:val="18"/>
              </w:rPr>
            </w:pPr>
            <w:r w:rsidRPr="002170A3">
              <w:rPr>
                <w:rFonts w:ascii="Arial Narrow" w:hAnsi="Arial Narrow" w:cs="Tahoma"/>
                <w:sz w:val="18"/>
                <w:szCs w:val="18"/>
              </w:rPr>
              <w:t>Number of days from arrest to enrollment in the drug court</w:t>
            </w:r>
          </w:p>
        </w:tc>
        <w:tc>
          <w:tcPr>
            <w:tcW w:w="2061" w:type="dxa"/>
          </w:tcPr>
          <w:p w:rsidR="002170A3" w:rsidRPr="002170A3" w:rsidRDefault="002170A3" w:rsidP="002170A3">
            <w:pPr>
              <w:spacing w:after="0" w:line="240" w:lineRule="auto"/>
              <w:ind w:left="720"/>
              <w:rPr>
                <w:rFonts w:ascii="Arial Narrow" w:hAnsi="Arial Narrow" w:cs="Tahoma"/>
                <w:sz w:val="18"/>
                <w:szCs w:val="18"/>
              </w:rPr>
            </w:pPr>
          </w:p>
        </w:tc>
      </w:tr>
      <w:tr w:rsidR="002170A3" w:rsidRPr="002170A3" w:rsidTr="002170A3">
        <w:trPr>
          <w:cantSplit/>
          <w:jc w:val="center"/>
        </w:trPr>
        <w:tc>
          <w:tcPr>
            <w:tcW w:w="521"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2001"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of training requests RECEIVED</w:t>
            </w:r>
          </w:p>
        </w:tc>
        <w:tc>
          <w:tcPr>
            <w:tcW w:w="3868"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This measure represents the number of training requests received during the reporting period. Requests can come from individuals or organizations served.</w:t>
            </w:r>
          </w:p>
        </w:tc>
        <w:tc>
          <w:tcPr>
            <w:tcW w:w="2889" w:type="dxa"/>
          </w:tcPr>
          <w:p w:rsidR="002170A3" w:rsidRPr="002170A3" w:rsidRDefault="002170A3" w:rsidP="002170A3">
            <w:pPr>
              <w:keepLines/>
              <w:numPr>
                <w:ilvl w:val="0"/>
                <w:numId w:val="23"/>
              </w:numPr>
              <w:tabs>
                <w:tab w:val="left" w:pos="288"/>
              </w:tabs>
              <w:spacing w:after="0" w:line="240" w:lineRule="auto"/>
              <w:ind w:left="377"/>
              <w:rPr>
                <w:rFonts w:ascii="Arial Narrow" w:hAnsi="Arial Narrow" w:cs="Tahoma"/>
                <w:sz w:val="18"/>
                <w:szCs w:val="18"/>
              </w:rPr>
            </w:pPr>
            <w:r w:rsidRPr="002170A3">
              <w:rPr>
                <w:rFonts w:ascii="Arial Narrow" w:hAnsi="Arial Narrow" w:cs="Tahoma"/>
                <w:sz w:val="18"/>
                <w:szCs w:val="18"/>
              </w:rPr>
              <w:t>Number of training requests received during the reporting period.</w:t>
            </w:r>
          </w:p>
        </w:tc>
        <w:tc>
          <w:tcPr>
            <w:tcW w:w="2061"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521"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2001"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of technical assistance requests RECEIVED</w:t>
            </w:r>
          </w:p>
        </w:tc>
        <w:tc>
          <w:tcPr>
            <w:tcW w:w="3868"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889" w:type="dxa"/>
          </w:tcPr>
          <w:p w:rsidR="002170A3" w:rsidRPr="002170A3" w:rsidRDefault="002170A3" w:rsidP="002170A3">
            <w:pPr>
              <w:keepLines/>
              <w:numPr>
                <w:ilvl w:val="0"/>
                <w:numId w:val="24"/>
              </w:numPr>
              <w:tabs>
                <w:tab w:val="left" w:pos="288"/>
              </w:tabs>
              <w:spacing w:after="0" w:line="240" w:lineRule="auto"/>
              <w:ind w:left="377"/>
              <w:rPr>
                <w:rFonts w:ascii="Arial Narrow" w:hAnsi="Arial Narrow" w:cs="Tahoma"/>
                <w:sz w:val="18"/>
                <w:szCs w:val="18"/>
              </w:rPr>
            </w:pPr>
            <w:r w:rsidRPr="002170A3">
              <w:rPr>
                <w:rFonts w:ascii="Arial Narrow" w:hAnsi="Arial Narrow" w:cs="Tahoma"/>
                <w:sz w:val="18"/>
                <w:szCs w:val="18"/>
              </w:rPr>
              <w:t>Number of technical assistance requests received during the reporting period</w:t>
            </w:r>
          </w:p>
        </w:tc>
        <w:tc>
          <w:tcPr>
            <w:tcW w:w="2061"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trHeight w:val="3015"/>
          <w:jc w:val="center"/>
        </w:trPr>
        <w:tc>
          <w:tcPr>
            <w:tcW w:w="521"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2001"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of program materials developed during the reporting period</w:t>
            </w:r>
          </w:p>
        </w:tc>
        <w:tc>
          <w:tcPr>
            <w:tcW w:w="3868"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889" w:type="dxa"/>
          </w:tcPr>
          <w:p w:rsidR="002170A3" w:rsidRPr="002170A3" w:rsidRDefault="002170A3" w:rsidP="002170A3">
            <w:pPr>
              <w:keepLines/>
              <w:numPr>
                <w:ilvl w:val="0"/>
                <w:numId w:val="25"/>
              </w:numPr>
              <w:tabs>
                <w:tab w:val="left" w:pos="288"/>
              </w:tabs>
              <w:spacing w:after="0" w:line="240" w:lineRule="auto"/>
              <w:ind w:left="377"/>
              <w:rPr>
                <w:rFonts w:ascii="Arial Narrow" w:hAnsi="Arial Narrow" w:cs="Tahoma"/>
                <w:sz w:val="18"/>
                <w:szCs w:val="18"/>
              </w:rPr>
            </w:pPr>
            <w:r w:rsidRPr="002170A3">
              <w:rPr>
                <w:rFonts w:ascii="Arial Narrow" w:hAnsi="Arial Narrow" w:cs="Tahoma"/>
                <w:sz w:val="18"/>
                <w:szCs w:val="18"/>
              </w:rPr>
              <w:t>Number of program materials developed</w:t>
            </w:r>
          </w:p>
        </w:tc>
        <w:tc>
          <w:tcPr>
            <w:tcW w:w="2061"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521"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2001"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of planning or training events held during the reporting period</w:t>
            </w:r>
          </w:p>
        </w:tc>
        <w:tc>
          <w:tcPr>
            <w:tcW w:w="3868"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889" w:type="dxa"/>
          </w:tcPr>
          <w:p w:rsidR="002170A3" w:rsidRPr="002170A3" w:rsidRDefault="002170A3" w:rsidP="002170A3">
            <w:pPr>
              <w:keepLines/>
              <w:numPr>
                <w:ilvl w:val="0"/>
                <w:numId w:val="1"/>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planning or training activities held during the reporting period</w:t>
            </w:r>
          </w:p>
        </w:tc>
        <w:tc>
          <w:tcPr>
            <w:tcW w:w="2061"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521"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2001"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of people trained during the reporting period</w:t>
            </w:r>
          </w:p>
        </w:tc>
        <w:tc>
          <w:tcPr>
            <w:tcW w:w="3868"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889" w:type="dxa"/>
          </w:tcPr>
          <w:p w:rsidR="002170A3" w:rsidRPr="002170A3" w:rsidRDefault="002170A3" w:rsidP="002170A3">
            <w:pPr>
              <w:keepLines/>
              <w:numPr>
                <w:ilvl w:val="0"/>
                <w:numId w:val="2"/>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people trained</w:t>
            </w:r>
          </w:p>
        </w:tc>
        <w:tc>
          <w:tcPr>
            <w:tcW w:w="2061"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521"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2001"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3868"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Number and percent of programs served by TTA that reported implementing an evidence-based program and/or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2889" w:type="dxa"/>
          </w:tcPr>
          <w:p w:rsidR="002170A3" w:rsidRPr="002170A3" w:rsidRDefault="002170A3" w:rsidP="002170A3">
            <w:pPr>
              <w:keepLines/>
              <w:numPr>
                <w:ilvl w:val="0"/>
                <w:numId w:val="3"/>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programs served by TTA that reported using an evidence-based program and / or practice.</w:t>
            </w:r>
          </w:p>
          <w:p w:rsidR="002170A3" w:rsidRPr="002170A3" w:rsidRDefault="002170A3" w:rsidP="002170A3">
            <w:pPr>
              <w:keepLines/>
              <w:numPr>
                <w:ilvl w:val="0"/>
                <w:numId w:val="3"/>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programs served by TTA.</w:t>
            </w:r>
          </w:p>
          <w:p w:rsidR="002170A3" w:rsidRPr="002170A3" w:rsidRDefault="002170A3" w:rsidP="002170A3">
            <w:pPr>
              <w:keepLines/>
              <w:numPr>
                <w:ilvl w:val="0"/>
                <w:numId w:val="3"/>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Percent of programs served by TTA that report using an evidence-based program and/or practice (A/B)</w:t>
            </w:r>
          </w:p>
        </w:tc>
        <w:tc>
          <w:tcPr>
            <w:tcW w:w="2061" w:type="dxa"/>
          </w:tcPr>
          <w:p w:rsidR="002170A3" w:rsidRPr="002170A3" w:rsidRDefault="002170A3" w:rsidP="002170A3">
            <w:pPr>
              <w:keepLines/>
              <w:spacing w:after="0" w:line="240" w:lineRule="auto"/>
              <w:ind w:left="720"/>
              <w:rPr>
                <w:rFonts w:ascii="Arial Narrow" w:hAnsi="Arial Narrow" w:cs="Tahoma"/>
                <w:sz w:val="18"/>
                <w:szCs w:val="18"/>
              </w:rPr>
            </w:pPr>
          </w:p>
        </w:tc>
      </w:tr>
    </w:tbl>
    <w:p w:rsidR="002170A3" w:rsidRPr="002170A3" w:rsidRDefault="002170A3" w:rsidP="002170A3">
      <w:pPr>
        <w:spacing w:after="0" w:line="240" w:lineRule="auto"/>
        <w:rPr>
          <w:rFonts w:ascii="Arial Narrow" w:hAnsi="Arial Narrow"/>
          <w:sz w:val="18"/>
          <w:szCs w:val="18"/>
        </w:rPr>
      </w:pPr>
    </w:p>
    <w:p w:rsidR="002170A3" w:rsidRPr="002170A3" w:rsidRDefault="002170A3" w:rsidP="002170A3">
      <w:pPr>
        <w:keepNext/>
        <w:numPr>
          <w:ilvl w:val="1"/>
          <w:numId w:val="0"/>
        </w:numPr>
        <w:tabs>
          <w:tab w:val="num" w:pos="576"/>
        </w:tabs>
        <w:spacing w:after="0" w:line="240" w:lineRule="auto"/>
        <w:ind w:left="576" w:hanging="576"/>
        <w:outlineLvl w:val="1"/>
        <w:rPr>
          <w:rFonts w:ascii="Arial Narrow" w:eastAsia="Times New Roman" w:hAnsi="Arial Narrow" w:cs="Times New Roman"/>
          <w:b/>
          <w:sz w:val="24"/>
          <w:szCs w:val="20"/>
        </w:rPr>
        <w:sectPr w:rsidR="002170A3" w:rsidRPr="002170A3" w:rsidSect="002170A3">
          <w:headerReference w:type="default" r:id="rId7"/>
          <w:footerReference w:type="default" r:id="rId8"/>
          <w:pgSz w:w="12240" w:h="15840"/>
          <w:pgMar w:top="720" w:right="720" w:bottom="720" w:left="720" w:header="576" w:footer="576" w:gutter="0"/>
          <w:cols w:space="720"/>
          <w:docGrid w:linePitch="360"/>
        </w:sectPr>
      </w:pPr>
    </w:p>
    <w:p w:rsidR="002170A3" w:rsidRPr="002170A3" w:rsidRDefault="002170A3" w:rsidP="002170A3">
      <w:pPr>
        <w:tabs>
          <w:tab w:val="left" w:pos="2138"/>
          <w:tab w:val="center" w:pos="5400"/>
        </w:tabs>
        <w:spacing w:after="0" w:line="240" w:lineRule="auto"/>
        <w:rPr>
          <w:rFonts w:ascii="Arial Narrow" w:hAnsi="Arial Narrow"/>
        </w:rPr>
      </w:pPr>
      <w:r w:rsidRPr="002170A3">
        <w:rPr>
          <w:rFonts w:ascii="Arial Narrow" w:hAnsi="Arial Narrow" w:cs="Tahoma"/>
          <w:b/>
          <w:bCs/>
          <w:color w:val="FF0000"/>
          <w:sz w:val="17"/>
          <w:szCs w:val="17"/>
        </w:rPr>
        <w:lastRenderedPageBreak/>
        <w:tab/>
      </w:r>
      <w:r w:rsidRPr="002170A3">
        <w:rPr>
          <w:rFonts w:ascii="Arial Narrow" w:hAnsi="Arial Narrow" w:cs="Tahoma"/>
          <w:b/>
          <w:bCs/>
          <w:color w:val="FF0000"/>
          <w:sz w:val="17"/>
          <w:szCs w:val="17"/>
        </w:rPr>
        <w:tab/>
        <w:t>Grantees are required to select at least one Outcome measure for each Program Area selected.</w:t>
      </w:r>
    </w:p>
    <w:tbl>
      <w:tblPr>
        <w:tblW w:w="11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08"/>
        <w:gridCol w:w="1977"/>
        <w:gridCol w:w="3800"/>
        <w:gridCol w:w="2985"/>
        <w:gridCol w:w="1830"/>
      </w:tblGrid>
      <w:tr w:rsidR="002170A3" w:rsidRPr="002170A3" w:rsidTr="002170A3">
        <w:trPr>
          <w:cantSplit/>
          <w:tblHeader/>
          <w:jc w:val="center"/>
        </w:trPr>
        <w:tc>
          <w:tcPr>
            <w:tcW w:w="408" w:type="dxa"/>
            <w:tcBorders>
              <w:right w:val="single" w:sz="6" w:space="0" w:color="FFFFFF"/>
            </w:tcBorders>
            <w:shd w:val="clear" w:color="auto" w:fill="003366"/>
            <w:vAlign w:val="center"/>
          </w:tcPr>
          <w:p w:rsidR="002170A3" w:rsidRPr="002170A3" w:rsidRDefault="002170A3" w:rsidP="002170A3">
            <w:pPr>
              <w:keepLines/>
              <w:spacing w:after="0" w:line="240" w:lineRule="auto"/>
              <w:jc w:val="center"/>
              <w:rPr>
                <w:rFonts w:ascii="Arial Narrow" w:hAnsi="Arial Narrow" w:cs="Tahoma"/>
                <w:sz w:val="20"/>
                <w:szCs w:val="18"/>
              </w:rPr>
            </w:pPr>
            <w:r w:rsidRPr="002170A3">
              <w:rPr>
                <w:rFonts w:ascii="Arial Narrow" w:hAnsi="Arial Narrow" w:cs="Tahoma"/>
                <w:sz w:val="20"/>
                <w:szCs w:val="18"/>
              </w:rPr>
              <w:t>#</w:t>
            </w:r>
          </w:p>
        </w:tc>
        <w:tc>
          <w:tcPr>
            <w:tcW w:w="1977" w:type="dxa"/>
            <w:tcBorders>
              <w:left w:val="single" w:sz="6" w:space="0" w:color="FFFFFF"/>
              <w:right w:val="single" w:sz="6" w:space="0" w:color="FFFFFF"/>
            </w:tcBorders>
            <w:shd w:val="clear" w:color="auto" w:fill="003366"/>
            <w:vAlign w:val="center"/>
          </w:tcPr>
          <w:p w:rsidR="002170A3" w:rsidRPr="002170A3" w:rsidRDefault="002170A3" w:rsidP="002170A3">
            <w:pPr>
              <w:keepLines/>
              <w:spacing w:after="0" w:line="240" w:lineRule="auto"/>
              <w:jc w:val="center"/>
              <w:rPr>
                <w:rFonts w:ascii="Arial Narrow" w:hAnsi="Arial Narrow" w:cs="Tahoma"/>
                <w:sz w:val="20"/>
                <w:szCs w:val="18"/>
              </w:rPr>
            </w:pPr>
            <w:r w:rsidRPr="002170A3">
              <w:rPr>
                <w:rFonts w:ascii="Arial Narrow" w:hAnsi="Arial Narrow" w:cs="Tahoma"/>
                <w:b/>
                <w:bCs/>
                <w:sz w:val="20"/>
                <w:szCs w:val="18"/>
              </w:rPr>
              <w:t>Outcome Measure</w:t>
            </w:r>
          </w:p>
        </w:tc>
        <w:tc>
          <w:tcPr>
            <w:tcW w:w="3800" w:type="dxa"/>
            <w:tcBorders>
              <w:left w:val="single" w:sz="6" w:space="0" w:color="FFFFFF"/>
              <w:right w:val="single" w:sz="6" w:space="0" w:color="FFFFFF"/>
            </w:tcBorders>
            <w:shd w:val="clear" w:color="auto" w:fill="003366"/>
            <w:vAlign w:val="center"/>
          </w:tcPr>
          <w:p w:rsidR="002170A3" w:rsidRPr="002170A3" w:rsidRDefault="002170A3" w:rsidP="002170A3">
            <w:pPr>
              <w:keepLines/>
              <w:spacing w:after="0" w:line="240" w:lineRule="auto"/>
              <w:jc w:val="center"/>
              <w:rPr>
                <w:rFonts w:ascii="Arial Narrow" w:hAnsi="Arial Narrow" w:cs="Tahoma"/>
                <w:sz w:val="20"/>
                <w:szCs w:val="18"/>
              </w:rPr>
            </w:pPr>
            <w:r w:rsidRPr="002170A3">
              <w:rPr>
                <w:rFonts w:ascii="Arial Narrow" w:hAnsi="Arial Narrow" w:cs="Tahoma"/>
                <w:b/>
                <w:bCs/>
                <w:sz w:val="20"/>
                <w:szCs w:val="18"/>
              </w:rPr>
              <w:t>Definition</w:t>
            </w:r>
          </w:p>
        </w:tc>
        <w:tc>
          <w:tcPr>
            <w:tcW w:w="2985" w:type="dxa"/>
            <w:tcBorders>
              <w:left w:val="single" w:sz="6" w:space="0" w:color="FFFFFF"/>
              <w:right w:val="single" w:sz="6" w:space="0" w:color="FFFFFF"/>
            </w:tcBorders>
            <w:shd w:val="clear" w:color="auto" w:fill="003366"/>
            <w:noWrap/>
            <w:vAlign w:val="center"/>
          </w:tcPr>
          <w:p w:rsidR="002170A3" w:rsidRPr="002170A3" w:rsidRDefault="002170A3" w:rsidP="002170A3">
            <w:pPr>
              <w:keepLines/>
              <w:spacing w:after="0" w:line="240" w:lineRule="auto"/>
              <w:jc w:val="center"/>
              <w:rPr>
                <w:rFonts w:ascii="Arial Narrow" w:hAnsi="Arial Narrow" w:cs="Tahoma"/>
                <w:sz w:val="20"/>
                <w:szCs w:val="18"/>
              </w:rPr>
            </w:pPr>
            <w:r w:rsidRPr="002170A3">
              <w:rPr>
                <w:rFonts w:ascii="Arial Narrow" w:hAnsi="Arial Narrow" w:cs="Tahoma"/>
                <w:b/>
                <w:sz w:val="20"/>
                <w:szCs w:val="18"/>
              </w:rPr>
              <w:t>Data Grantee Reports</w:t>
            </w:r>
          </w:p>
        </w:tc>
        <w:tc>
          <w:tcPr>
            <w:tcW w:w="1830" w:type="dxa"/>
            <w:tcBorders>
              <w:left w:val="single" w:sz="6" w:space="0" w:color="FFFFFF"/>
            </w:tcBorders>
            <w:shd w:val="clear" w:color="auto" w:fill="003366"/>
          </w:tcPr>
          <w:p w:rsidR="002170A3" w:rsidRPr="002170A3" w:rsidRDefault="002170A3" w:rsidP="002170A3">
            <w:pPr>
              <w:keepLines/>
              <w:spacing w:after="0" w:line="240" w:lineRule="auto"/>
              <w:jc w:val="center"/>
              <w:rPr>
                <w:rFonts w:ascii="Arial Narrow" w:hAnsi="Arial Narrow" w:cs="Tahoma"/>
                <w:b/>
                <w:sz w:val="20"/>
                <w:szCs w:val="18"/>
              </w:rPr>
            </w:pPr>
            <w:r w:rsidRPr="002170A3">
              <w:rPr>
                <w:rFonts w:ascii="Arial Narrow" w:hAnsi="Arial Narrow" w:cs="Tahoma"/>
                <w:b/>
                <w:sz w:val="20"/>
                <w:szCs w:val="18"/>
              </w:rPr>
              <w:t>Record Data Here</w:t>
            </w:r>
          </w:p>
        </w:tc>
      </w:tr>
      <w:tr w:rsidR="002170A3" w:rsidRPr="002170A3" w:rsidTr="002170A3">
        <w:trPr>
          <w:cantSplit/>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Percent of people exhibiting an increased knowledge of the program area during the reporting period</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985" w:type="dxa"/>
          </w:tcPr>
          <w:p w:rsidR="002170A3" w:rsidRPr="002170A3" w:rsidRDefault="002170A3" w:rsidP="002170A3">
            <w:pPr>
              <w:keepLines/>
              <w:numPr>
                <w:ilvl w:val="0"/>
                <w:numId w:val="26"/>
              </w:numPr>
              <w:tabs>
                <w:tab w:val="left" w:pos="288"/>
              </w:tabs>
              <w:spacing w:after="0" w:line="240" w:lineRule="auto"/>
              <w:ind w:left="381"/>
              <w:rPr>
                <w:rFonts w:ascii="Arial Narrow" w:hAnsi="Arial Narrow" w:cs="Tahoma"/>
                <w:sz w:val="18"/>
                <w:szCs w:val="18"/>
              </w:rPr>
            </w:pPr>
            <w:r w:rsidRPr="002170A3">
              <w:rPr>
                <w:rFonts w:ascii="Arial Narrow" w:hAnsi="Arial Narrow" w:cs="Tahoma"/>
                <w:sz w:val="18"/>
                <w:szCs w:val="18"/>
              </w:rPr>
              <w:t>Number of people exhibiting an increase in knowledge post-training.</w:t>
            </w:r>
          </w:p>
          <w:p w:rsidR="002170A3" w:rsidRPr="002170A3" w:rsidRDefault="002170A3" w:rsidP="002170A3">
            <w:pPr>
              <w:keepLines/>
              <w:numPr>
                <w:ilvl w:val="0"/>
                <w:numId w:val="26"/>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people trained during the reporting period.</w:t>
            </w:r>
          </w:p>
          <w:p w:rsidR="002170A3" w:rsidRPr="002170A3" w:rsidRDefault="002170A3" w:rsidP="002170A3">
            <w:pPr>
              <w:keepLines/>
              <w:numPr>
                <w:ilvl w:val="0"/>
                <w:numId w:val="26"/>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Percent of people trained who exhibited increased knowledge (A/B)</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of program policies changed, improved, or rescinded during the reporting period</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985" w:type="dxa"/>
          </w:tcPr>
          <w:p w:rsidR="002170A3" w:rsidRPr="002170A3" w:rsidRDefault="002170A3" w:rsidP="002170A3">
            <w:pPr>
              <w:keepLines/>
              <w:numPr>
                <w:ilvl w:val="0"/>
                <w:numId w:val="27"/>
              </w:numPr>
              <w:tabs>
                <w:tab w:val="left" w:pos="288"/>
              </w:tabs>
              <w:spacing w:after="0" w:line="240" w:lineRule="auto"/>
              <w:ind w:left="381"/>
              <w:rPr>
                <w:rFonts w:ascii="Arial Narrow" w:hAnsi="Arial Narrow" w:cs="Tahoma"/>
                <w:sz w:val="18"/>
                <w:szCs w:val="18"/>
              </w:rPr>
            </w:pPr>
            <w:r w:rsidRPr="002170A3">
              <w:rPr>
                <w:rFonts w:ascii="Arial Narrow" w:hAnsi="Arial Narrow" w:cs="Tahoma"/>
                <w:sz w:val="18"/>
                <w:szCs w:val="18"/>
              </w:rPr>
              <w:t>Number of programs policies changed during the reporting period</w:t>
            </w:r>
          </w:p>
          <w:p w:rsidR="002170A3" w:rsidRPr="002170A3" w:rsidRDefault="002170A3" w:rsidP="002170A3">
            <w:pPr>
              <w:keepLines/>
              <w:numPr>
                <w:ilvl w:val="0"/>
                <w:numId w:val="27"/>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programs policies rescinded during the reporting period</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408" w:type="dxa"/>
          </w:tcPr>
          <w:p w:rsidR="002170A3" w:rsidRPr="00B260C8" w:rsidRDefault="002170A3" w:rsidP="00B260C8">
            <w:pPr>
              <w:pStyle w:val="ListParagraph"/>
              <w:numPr>
                <w:ilvl w:val="0"/>
                <w:numId w:val="36"/>
              </w:numPr>
              <w:spacing w:after="0" w:line="240" w:lineRule="auto"/>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Percent of organizations reporting improvements in operations based on training and technical assistance (TTA).</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The number and percent of organizations reporting improvements in operations as a result of TTA one to six months post-service.</w:t>
            </w:r>
          </w:p>
        </w:tc>
        <w:tc>
          <w:tcPr>
            <w:tcW w:w="2985" w:type="dxa"/>
          </w:tcPr>
          <w:p w:rsidR="002170A3" w:rsidRPr="002170A3" w:rsidRDefault="002170A3" w:rsidP="002170A3">
            <w:pPr>
              <w:keepLines/>
              <w:numPr>
                <w:ilvl w:val="0"/>
                <w:numId w:val="28"/>
              </w:numPr>
              <w:tabs>
                <w:tab w:val="left" w:pos="288"/>
              </w:tabs>
              <w:spacing w:after="0" w:line="240" w:lineRule="auto"/>
              <w:rPr>
                <w:rFonts w:ascii="Arial Narrow" w:hAnsi="Arial Narrow" w:cs="Tahoma"/>
                <w:sz w:val="18"/>
                <w:szCs w:val="18"/>
              </w:rPr>
            </w:pPr>
            <w:r w:rsidRPr="002170A3">
              <w:rPr>
                <w:rFonts w:ascii="Arial Narrow" w:hAnsi="Arial Narrow" w:cs="Tahoma"/>
                <w:sz w:val="18"/>
                <w:szCs w:val="18"/>
              </w:rPr>
              <w:t>The number of organizations reporting improvements in operations based on training and technical assistance during the reporting period.</w:t>
            </w:r>
          </w:p>
          <w:p w:rsidR="002170A3" w:rsidRPr="002170A3" w:rsidRDefault="002170A3" w:rsidP="002170A3">
            <w:pPr>
              <w:keepLines/>
              <w:numPr>
                <w:ilvl w:val="0"/>
                <w:numId w:val="28"/>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organizations served by TTA during the reporting period.</w:t>
            </w:r>
          </w:p>
          <w:p w:rsidR="002170A3" w:rsidRPr="002170A3" w:rsidRDefault="002170A3" w:rsidP="002170A3">
            <w:pPr>
              <w:keepLines/>
              <w:numPr>
                <w:ilvl w:val="0"/>
                <w:numId w:val="28"/>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(A/B)</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of clinical treatment slots available to the drug court</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program quality based on the idea that for a specialty court to be effective, it has to have adequate ability to refer youth to needed services.  Appropriate for any drug court.  Report the number of clinical treatment slots to which the drug court can refer youth.  For example, if the court is able to refer 10 youth to residential drug treatment, 15 youth to outpatient mental health services, and 30 youth for physical examinations at any one time, the program would report having 55 slots.</w:t>
            </w:r>
          </w:p>
        </w:tc>
        <w:tc>
          <w:tcPr>
            <w:tcW w:w="2985" w:type="dxa"/>
          </w:tcPr>
          <w:p w:rsidR="002170A3" w:rsidRPr="002170A3" w:rsidRDefault="002170A3" w:rsidP="002170A3">
            <w:pPr>
              <w:keepLines/>
              <w:numPr>
                <w:ilvl w:val="0"/>
                <w:numId w:val="29"/>
              </w:numPr>
              <w:tabs>
                <w:tab w:val="left" w:pos="288"/>
              </w:tabs>
              <w:spacing w:after="0" w:line="240" w:lineRule="auto"/>
              <w:ind w:left="381"/>
              <w:rPr>
                <w:rFonts w:ascii="Arial Narrow" w:hAnsi="Arial Narrow" w:cs="Tahoma"/>
                <w:sz w:val="18"/>
                <w:szCs w:val="18"/>
              </w:rPr>
            </w:pPr>
            <w:r w:rsidRPr="002170A3">
              <w:rPr>
                <w:rFonts w:ascii="Arial Narrow" w:hAnsi="Arial Narrow" w:cs="Tahoma"/>
                <w:sz w:val="18"/>
                <w:szCs w:val="18"/>
              </w:rPr>
              <w:t>Number of clinical treatment slots</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of types of treatment (clinical) offered through the drug court</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program quality based on the idea that for a specialty court to be effective, it has to have adequate ability to refer youth to needed services.  Appropriate for any drug court.  Report the number of different types of clinical treatment to which the drug court can refer youth.   Include treatment a type for which there is an agreement or history of referral, not treatment types that the court can refer to if a need arises.  Clinical treatment includes services provided by a licensed professional such as a medical doctor, psychologist, licensed social worker, certified family counselor, or certified addictions specialist.</w:t>
            </w:r>
          </w:p>
        </w:tc>
        <w:tc>
          <w:tcPr>
            <w:tcW w:w="2985" w:type="dxa"/>
          </w:tcPr>
          <w:p w:rsidR="002170A3" w:rsidRPr="002170A3" w:rsidRDefault="002170A3" w:rsidP="002170A3">
            <w:pPr>
              <w:keepLines/>
              <w:numPr>
                <w:ilvl w:val="0"/>
                <w:numId w:val="30"/>
              </w:numPr>
              <w:tabs>
                <w:tab w:val="left" w:pos="288"/>
              </w:tabs>
              <w:spacing w:after="0" w:line="240" w:lineRule="auto"/>
              <w:ind w:left="291" w:hanging="270"/>
              <w:rPr>
                <w:rFonts w:ascii="Arial Narrow" w:hAnsi="Arial Narrow" w:cs="Tahoma"/>
                <w:sz w:val="18"/>
                <w:szCs w:val="18"/>
              </w:rPr>
            </w:pPr>
            <w:r w:rsidRPr="002170A3">
              <w:rPr>
                <w:rFonts w:ascii="Arial Narrow" w:hAnsi="Arial Narrow" w:cs="Tahoma"/>
                <w:sz w:val="18"/>
                <w:szCs w:val="18"/>
              </w:rPr>
              <w:t>Number of types of clinical treatment available</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of service (non-clinical) slots offered through the drug court</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program quality based on the idea that for a specialty court to be effective, it has to have adequate ability to refer youth to needed services.  Appropriate for any drug court.  Report the number of non-clinical service slots, to which the drug court can refer youth.  For example, if the court is able to refer 10 youth to life skills training, 15 youth to vocational training, and 30 youth for GED classes, the program would report having 55 slots.</w:t>
            </w:r>
          </w:p>
        </w:tc>
        <w:tc>
          <w:tcPr>
            <w:tcW w:w="2985" w:type="dxa"/>
          </w:tcPr>
          <w:p w:rsidR="002170A3" w:rsidRPr="002170A3" w:rsidRDefault="002170A3" w:rsidP="002170A3">
            <w:pPr>
              <w:keepLines/>
              <w:numPr>
                <w:ilvl w:val="0"/>
                <w:numId w:val="31"/>
              </w:numPr>
              <w:tabs>
                <w:tab w:val="left" w:pos="288"/>
              </w:tabs>
              <w:spacing w:after="0" w:line="240" w:lineRule="auto"/>
              <w:ind w:left="381"/>
              <w:rPr>
                <w:rFonts w:ascii="Arial Narrow" w:hAnsi="Arial Narrow" w:cs="Tahoma"/>
                <w:sz w:val="18"/>
                <w:szCs w:val="18"/>
              </w:rPr>
            </w:pPr>
            <w:r w:rsidRPr="002170A3">
              <w:rPr>
                <w:rFonts w:ascii="Arial Narrow" w:hAnsi="Arial Narrow" w:cs="Tahoma"/>
                <w:sz w:val="18"/>
                <w:szCs w:val="18"/>
              </w:rPr>
              <w:t>Number of non-clinical service slots</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of types of non-clinical service offered through the drug court</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program quality based on the idea that for a specialty court to be effective, it has to have adequate ability to refer youth to needed services.  Appropriate for any drug court.  Report the number of different types of non-clinical services to which the drug court can refer youth.   Include service types for which there is an agreement or history of referral, not service types that the court can refer to if a need arises.  For example, services may include transportation, food vouchers, housing assistance, or help getting back into school.</w:t>
            </w:r>
          </w:p>
        </w:tc>
        <w:tc>
          <w:tcPr>
            <w:tcW w:w="2985" w:type="dxa"/>
          </w:tcPr>
          <w:p w:rsidR="002170A3" w:rsidRPr="002170A3" w:rsidRDefault="002170A3" w:rsidP="002170A3">
            <w:pPr>
              <w:keepLines/>
              <w:numPr>
                <w:ilvl w:val="0"/>
                <w:numId w:val="32"/>
              </w:numPr>
              <w:tabs>
                <w:tab w:val="left" w:pos="288"/>
              </w:tabs>
              <w:spacing w:after="0" w:line="240" w:lineRule="auto"/>
              <w:ind w:left="381"/>
              <w:rPr>
                <w:rFonts w:ascii="Arial Narrow" w:hAnsi="Arial Narrow" w:cs="Tahoma"/>
                <w:sz w:val="18"/>
                <w:szCs w:val="18"/>
              </w:rPr>
            </w:pPr>
            <w:r w:rsidRPr="002170A3">
              <w:rPr>
                <w:rFonts w:ascii="Arial Narrow" w:hAnsi="Arial Narrow" w:cs="Tahoma"/>
                <w:sz w:val="18"/>
                <w:szCs w:val="18"/>
              </w:rPr>
              <w:t xml:space="preserve">Number of types of non-clinical services </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408" w:type="dxa"/>
          </w:tcPr>
          <w:p w:rsidR="002170A3" w:rsidRPr="00B260C8" w:rsidRDefault="002170A3" w:rsidP="00B260C8">
            <w:pPr>
              <w:pStyle w:val="ListParagraph"/>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spacing w:after="0" w:line="240" w:lineRule="auto"/>
              <w:rPr>
                <w:rFonts w:ascii="Arial Narrow" w:hAnsi="Arial Narrow" w:cs="Tahoma"/>
                <w:sz w:val="18"/>
                <w:szCs w:val="18"/>
              </w:rPr>
            </w:pPr>
            <w:r w:rsidRPr="002170A3">
              <w:rPr>
                <w:rFonts w:ascii="Arial Narrow" w:hAnsi="Arial Narrow" w:cs="Tahoma"/>
                <w:sz w:val="18"/>
                <w:szCs w:val="18"/>
              </w:rPr>
              <w:t>Frequency of drug testing</w:t>
            </w:r>
          </w:p>
        </w:tc>
        <w:tc>
          <w:tcPr>
            <w:tcW w:w="3800" w:type="dxa"/>
          </w:tcPr>
          <w:p w:rsidR="002170A3" w:rsidRPr="002170A3" w:rsidRDefault="002170A3" w:rsidP="002170A3">
            <w:pPr>
              <w:spacing w:after="0" w:line="240" w:lineRule="auto"/>
              <w:rPr>
                <w:rFonts w:ascii="Arial Narrow" w:hAnsi="Arial Narrow" w:cs="Tahoma"/>
                <w:sz w:val="18"/>
                <w:szCs w:val="18"/>
              </w:rPr>
            </w:pPr>
            <w:r w:rsidRPr="002170A3">
              <w:rPr>
                <w:rFonts w:ascii="Arial Narrow" w:hAnsi="Arial Narrow" w:cs="Tahoma"/>
                <w:sz w:val="18"/>
                <w:szCs w:val="18"/>
              </w:rPr>
              <w:t>Measure of system accountability based on the idea that drug testing is a tool available to drug courts and can affect youth outcomes and system responses to youth.  Report the ratio of number of drugs tests given by the number of days participating in the drug court.  For example, if the drug court offered 500 tests and served 30 youth who averaged 120 days of drug court participation, the result would be an average of 17 tests per youth (500/30) or one test per youth every 7 days (120/17).</w:t>
            </w:r>
          </w:p>
        </w:tc>
        <w:tc>
          <w:tcPr>
            <w:tcW w:w="2985" w:type="dxa"/>
          </w:tcPr>
          <w:p w:rsidR="002170A3" w:rsidRPr="002170A3" w:rsidRDefault="002170A3" w:rsidP="002170A3">
            <w:pPr>
              <w:keepLines/>
              <w:numPr>
                <w:ilvl w:val="0"/>
                <w:numId w:val="33"/>
              </w:numPr>
              <w:tabs>
                <w:tab w:val="left" w:pos="288"/>
              </w:tabs>
              <w:spacing w:after="0" w:line="240" w:lineRule="auto"/>
              <w:ind w:left="381"/>
              <w:rPr>
                <w:rFonts w:ascii="Arial Narrow" w:hAnsi="Arial Narrow" w:cs="Tahoma"/>
                <w:sz w:val="18"/>
                <w:szCs w:val="18"/>
              </w:rPr>
            </w:pPr>
            <w:r w:rsidRPr="002170A3">
              <w:rPr>
                <w:rFonts w:ascii="Arial Narrow" w:hAnsi="Arial Narrow" w:cs="Tahoma"/>
                <w:sz w:val="18"/>
                <w:szCs w:val="18"/>
              </w:rPr>
              <w:t>Number of drug tests given</w:t>
            </w:r>
          </w:p>
          <w:p w:rsidR="002170A3" w:rsidRPr="002170A3" w:rsidRDefault="002170A3" w:rsidP="002170A3">
            <w:pPr>
              <w:keepLines/>
              <w:numPr>
                <w:ilvl w:val="0"/>
                <w:numId w:val="33"/>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drug court participants</w:t>
            </w:r>
          </w:p>
          <w:p w:rsidR="002170A3" w:rsidRPr="002170A3" w:rsidRDefault="002170A3" w:rsidP="002170A3">
            <w:pPr>
              <w:keepLines/>
              <w:numPr>
                <w:ilvl w:val="0"/>
                <w:numId w:val="33"/>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Average number of days of drug court participation per youth</w:t>
            </w:r>
          </w:p>
          <w:p w:rsidR="002170A3" w:rsidRPr="002170A3" w:rsidRDefault="002170A3" w:rsidP="002170A3">
            <w:pPr>
              <w:keepLines/>
              <w:numPr>
                <w:ilvl w:val="0"/>
                <w:numId w:val="33"/>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Frequency (C/(A/B)</w:t>
            </w:r>
          </w:p>
        </w:tc>
        <w:tc>
          <w:tcPr>
            <w:tcW w:w="1830" w:type="dxa"/>
          </w:tcPr>
          <w:p w:rsidR="002170A3" w:rsidRPr="002170A3" w:rsidRDefault="002170A3" w:rsidP="002170A3">
            <w:pPr>
              <w:spacing w:after="0" w:line="240" w:lineRule="auto"/>
              <w:ind w:left="720"/>
              <w:rPr>
                <w:rFonts w:ascii="Arial Narrow" w:hAnsi="Arial Narrow" w:cs="Tahoma"/>
                <w:sz w:val="18"/>
                <w:szCs w:val="18"/>
              </w:rPr>
            </w:pPr>
          </w:p>
        </w:tc>
      </w:tr>
      <w:tr w:rsidR="002170A3" w:rsidRPr="002170A3" w:rsidTr="002170A3">
        <w:trPr>
          <w:cantSplit/>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and percent of eligible youth to enter the drug court</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system accountability based on the idea that the system has a responsibility to serve as many eligible youth as possible.  Appropriate for any drug court or larger jurisdiction that includes a drug court.  Report the raw number of juveniles who actually become enrolled in the drug court.  Enrollment may include things like signing a participation agreement, assignment of a drug court case specialist, or appearing before a drug court judge.  Percent is the raw number divided by the number of juveniles who meet minimal drug court eligibility.  For example, if eligibility is based on the commission of a certain group of crimes and 100 youth commit at least one of those crimes, and the drug court enrolls 30 people, the percent would be 30 percent.</w:t>
            </w:r>
          </w:p>
        </w:tc>
        <w:tc>
          <w:tcPr>
            <w:tcW w:w="2985" w:type="dxa"/>
          </w:tcPr>
          <w:p w:rsidR="002170A3" w:rsidRPr="002170A3" w:rsidRDefault="002170A3" w:rsidP="002170A3">
            <w:pPr>
              <w:keepLines/>
              <w:numPr>
                <w:ilvl w:val="0"/>
                <w:numId w:val="4"/>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youth enrolled</w:t>
            </w:r>
          </w:p>
          <w:p w:rsidR="002170A3" w:rsidRPr="002170A3" w:rsidRDefault="002170A3" w:rsidP="002170A3">
            <w:pPr>
              <w:keepLines/>
              <w:numPr>
                <w:ilvl w:val="0"/>
                <w:numId w:val="4"/>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youth eligible</w:t>
            </w:r>
          </w:p>
          <w:p w:rsidR="002170A3" w:rsidRPr="002170A3" w:rsidRDefault="002170A3" w:rsidP="002170A3">
            <w:pPr>
              <w:keepLines/>
              <w:numPr>
                <w:ilvl w:val="0"/>
                <w:numId w:val="4"/>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Percent (A/B)</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of judicial contacts per youth participating in the drug court</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system accountability based on the idea that specialty courts require strict monitoring of their participants.  Appropriate for any drug court.  Report the average number of judicial contacts with drug court participants per month.  Specifically, take the number of judicial contacts with drug court youth in a 1-month period.  Divide that number by the number of youth enrolled during any part of that month.</w:t>
            </w:r>
          </w:p>
        </w:tc>
        <w:tc>
          <w:tcPr>
            <w:tcW w:w="2985" w:type="dxa"/>
          </w:tcPr>
          <w:p w:rsidR="002170A3" w:rsidRPr="002170A3" w:rsidRDefault="002170A3" w:rsidP="002170A3">
            <w:pPr>
              <w:keepLines/>
              <w:numPr>
                <w:ilvl w:val="0"/>
                <w:numId w:val="34"/>
              </w:numPr>
              <w:tabs>
                <w:tab w:val="left" w:pos="291"/>
              </w:tabs>
              <w:spacing w:after="0" w:line="240" w:lineRule="auto"/>
              <w:ind w:left="381" w:hanging="381"/>
              <w:contextualSpacing/>
              <w:rPr>
                <w:rFonts w:ascii="Arial Narrow" w:hAnsi="Arial Narrow" w:cs="Tahoma"/>
                <w:sz w:val="18"/>
                <w:szCs w:val="18"/>
              </w:rPr>
            </w:pPr>
            <w:r w:rsidRPr="002170A3">
              <w:rPr>
                <w:rFonts w:ascii="Arial Narrow" w:hAnsi="Arial Narrow" w:cs="Tahoma"/>
                <w:sz w:val="18"/>
                <w:szCs w:val="18"/>
              </w:rPr>
              <w:t>Number of judicial contacts with youth</w:t>
            </w:r>
          </w:p>
          <w:p w:rsidR="002170A3" w:rsidRPr="002170A3" w:rsidRDefault="002170A3" w:rsidP="002170A3">
            <w:pPr>
              <w:keepLines/>
              <w:numPr>
                <w:ilvl w:val="0"/>
                <w:numId w:val="34"/>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youth enrolled in the drug court</w:t>
            </w:r>
          </w:p>
          <w:p w:rsidR="002170A3" w:rsidRPr="002170A3" w:rsidRDefault="002170A3" w:rsidP="002170A3">
            <w:pPr>
              <w:keepLines/>
              <w:numPr>
                <w:ilvl w:val="0"/>
                <w:numId w:val="34"/>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contacts per youth (A/B)</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of hours of treatment received per youth participating in the drug court</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system accountability based on the idea that specialty courts result in higher levels of treatment receipt than do traditional courts.  Appropriate for any drug court.  Report the average number of clinical treatment hours received per youth per month.  Specifically, take the number of clinical treatment hours that drug court youth receive in a 1-month period.  Divide that number by the number of youth enrolled during any part of that month.  Clinical treatment includes services provided by a licensed professional such as a medical doctor, psychologist, licensed social worker, certified family counselor, or certified addictions specialist.</w:t>
            </w:r>
          </w:p>
        </w:tc>
        <w:tc>
          <w:tcPr>
            <w:tcW w:w="2985" w:type="dxa"/>
          </w:tcPr>
          <w:p w:rsidR="002170A3" w:rsidRPr="002170A3" w:rsidRDefault="002170A3" w:rsidP="002170A3">
            <w:pPr>
              <w:keepLines/>
              <w:numPr>
                <w:ilvl w:val="0"/>
                <w:numId w:val="5"/>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hours of clinical treatment received</w:t>
            </w:r>
          </w:p>
          <w:p w:rsidR="002170A3" w:rsidRPr="002170A3" w:rsidRDefault="002170A3" w:rsidP="002170A3">
            <w:pPr>
              <w:keepLines/>
              <w:numPr>
                <w:ilvl w:val="0"/>
                <w:numId w:val="5"/>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youth enrolled in the drug court</w:t>
            </w:r>
          </w:p>
          <w:p w:rsidR="002170A3" w:rsidRPr="002170A3" w:rsidRDefault="002170A3" w:rsidP="002170A3">
            <w:pPr>
              <w:keepLines/>
              <w:numPr>
                <w:ilvl w:val="0"/>
                <w:numId w:val="5"/>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clinical hours per youth (A/B)</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trHeight w:val="1683"/>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and percent of youth to test positive for drug use</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youth accountability.  Appropriate for any drug court.  Report the raw number of youth to receive at least one positive drug test result.  Percent is the raw number divided by the total number of youth tested.</w:t>
            </w:r>
          </w:p>
        </w:tc>
        <w:tc>
          <w:tcPr>
            <w:tcW w:w="2985" w:type="dxa"/>
          </w:tcPr>
          <w:p w:rsidR="002170A3" w:rsidRPr="002170A3" w:rsidRDefault="002170A3" w:rsidP="002170A3">
            <w:pPr>
              <w:keepLines/>
              <w:numPr>
                <w:ilvl w:val="0"/>
                <w:numId w:val="35"/>
              </w:numPr>
              <w:tabs>
                <w:tab w:val="left" w:pos="288"/>
              </w:tabs>
              <w:spacing w:after="0" w:line="240" w:lineRule="auto"/>
              <w:ind w:left="381"/>
              <w:rPr>
                <w:rFonts w:ascii="Arial Narrow" w:hAnsi="Arial Narrow" w:cs="Tahoma"/>
                <w:sz w:val="18"/>
                <w:szCs w:val="18"/>
              </w:rPr>
            </w:pPr>
            <w:r w:rsidRPr="002170A3">
              <w:rPr>
                <w:rFonts w:ascii="Arial Narrow" w:hAnsi="Arial Narrow" w:cs="Tahoma"/>
                <w:sz w:val="18"/>
                <w:szCs w:val="18"/>
              </w:rPr>
              <w:t>Number of youth to test positive</w:t>
            </w:r>
          </w:p>
          <w:p w:rsidR="002170A3" w:rsidRPr="002170A3" w:rsidRDefault="002170A3" w:rsidP="002170A3">
            <w:pPr>
              <w:keepLines/>
              <w:numPr>
                <w:ilvl w:val="0"/>
                <w:numId w:val="35"/>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youth enrolled</w:t>
            </w:r>
          </w:p>
          <w:p w:rsidR="002170A3" w:rsidRPr="002170A3" w:rsidRDefault="002170A3" w:rsidP="002170A3">
            <w:pPr>
              <w:keepLines/>
              <w:numPr>
                <w:ilvl w:val="0"/>
                <w:numId w:val="35"/>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Percent (A/B)</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trHeight w:val="1683"/>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Service intensity</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system accountability based on the idea that specialty courts result in higher levels of service receipt than do traditional courts.  Appropriate for any specialty court (e.g. gun court or drug court).  Report the average number of days a non-clinical service was received by number of days enrolled in specialty court across youth.  For example, services may include transportation, food vouchers, housing assistance, or help getting back into school</w:t>
            </w:r>
          </w:p>
        </w:tc>
        <w:tc>
          <w:tcPr>
            <w:tcW w:w="2985" w:type="dxa"/>
          </w:tcPr>
          <w:p w:rsidR="002170A3" w:rsidRPr="002170A3" w:rsidRDefault="002170A3" w:rsidP="002170A3">
            <w:pPr>
              <w:keepLines/>
              <w:numPr>
                <w:ilvl w:val="0"/>
                <w:numId w:val="6"/>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Average number of days of service per youth while enrolled</w:t>
            </w:r>
          </w:p>
          <w:p w:rsidR="002170A3" w:rsidRPr="002170A3" w:rsidRDefault="002170A3" w:rsidP="002170A3">
            <w:pPr>
              <w:keepLines/>
              <w:numPr>
                <w:ilvl w:val="0"/>
                <w:numId w:val="6"/>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Average number of days youth are enrolled</w:t>
            </w:r>
          </w:p>
          <w:p w:rsidR="002170A3" w:rsidRPr="002170A3" w:rsidRDefault="002170A3" w:rsidP="002170A3">
            <w:pPr>
              <w:keepLines/>
              <w:numPr>
                <w:ilvl w:val="0"/>
                <w:numId w:val="6"/>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Percent (A/B)</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trHeight w:val="1683"/>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of families of participants to actually participate in at least one recommended service (not including court appearances)</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client accountability.  Appropriate for any drug court program.  Report the raw number of families with a member enrolled in the drug court to participate in at least one drug court service or treatment.  Do not include appearances by family members at court dates or family members who solely drop youth off for their drug court requirements.  Percent is the raw number divided by the total number of families that have a member enrolled in the drug court.</w:t>
            </w:r>
          </w:p>
        </w:tc>
        <w:tc>
          <w:tcPr>
            <w:tcW w:w="2985" w:type="dxa"/>
          </w:tcPr>
          <w:p w:rsidR="002170A3" w:rsidRPr="002170A3" w:rsidRDefault="002170A3" w:rsidP="002170A3">
            <w:pPr>
              <w:keepLines/>
              <w:numPr>
                <w:ilvl w:val="0"/>
                <w:numId w:val="7"/>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families to participate</w:t>
            </w:r>
          </w:p>
          <w:p w:rsidR="002170A3" w:rsidRPr="002170A3" w:rsidRDefault="002170A3" w:rsidP="002170A3">
            <w:pPr>
              <w:keepLines/>
              <w:numPr>
                <w:ilvl w:val="0"/>
                <w:numId w:val="7"/>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families with a youth enrolled</w:t>
            </w:r>
          </w:p>
          <w:p w:rsidR="002170A3" w:rsidRPr="002170A3" w:rsidRDefault="002170A3" w:rsidP="002170A3">
            <w:pPr>
              <w:keepLines/>
              <w:numPr>
                <w:ilvl w:val="0"/>
                <w:numId w:val="7"/>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Percent (A/B)</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trHeight w:val="1683"/>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Average number of different services received by youth drug court participants</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system accountability.  Appropriate for any drug court.  Report the average number of different types of services or clinical treatment received by drug court participants.  For example, if a participant received outpatient mental health treatment, transportation services, and literacy counseling, that would count as three services.  But if, for example, a participant received medical treatment from two different providers or on two different occasions that would count as one treatment unless the treatment was for different conditions (e.g., a broken leg and a pregnancy).</w:t>
            </w:r>
          </w:p>
        </w:tc>
        <w:tc>
          <w:tcPr>
            <w:tcW w:w="2985" w:type="dxa"/>
          </w:tcPr>
          <w:p w:rsidR="002170A3" w:rsidRPr="002170A3" w:rsidRDefault="002170A3" w:rsidP="002170A3">
            <w:pPr>
              <w:keepLines/>
              <w:numPr>
                <w:ilvl w:val="0"/>
                <w:numId w:val="8"/>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Average number of types of services received per client</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trHeight w:val="1683"/>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of days of youth enrollment in the drug court</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youth accountability.  Appropriate for any drug court.  Report the average number of calendar days that youth participate in the drug court.  Enrollment includes things like signing a participation agreement, assignment of a drug court case specialist, or appearing before a drug court judge.  Include active enrollment, not days a youth appears on case rolls but cannot be located or is otherwise a non-participant (e.g., the case is closed but the paper work has not yet been processed).</w:t>
            </w:r>
          </w:p>
        </w:tc>
        <w:tc>
          <w:tcPr>
            <w:tcW w:w="2985" w:type="dxa"/>
          </w:tcPr>
          <w:p w:rsidR="002170A3" w:rsidRPr="002170A3" w:rsidRDefault="002170A3" w:rsidP="002170A3">
            <w:pPr>
              <w:keepLines/>
              <w:numPr>
                <w:ilvl w:val="0"/>
                <w:numId w:val="9"/>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Average number of days of court participation per youth</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trHeight w:val="1683"/>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and percent of youth to successfully complete treatment/services referred to as part of the drug court</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program quality based on the idea that well-operated drug courts with appropriate resources will have higher rates of treatment/service completion than would poor-quality programs.  Appropriate for any drug court.  Report the raw number of youth that successfully complete all of the treatment and service programs that they enter as part of the drug court.  Percent is the raw number divided by the total number of youth to enter at least one service or treatment through the drug court.</w:t>
            </w:r>
          </w:p>
        </w:tc>
        <w:tc>
          <w:tcPr>
            <w:tcW w:w="2985" w:type="dxa"/>
          </w:tcPr>
          <w:p w:rsidR="002170A3" w:rsidRPr="002170A3" w:rsidRDefault="002170A3" w:rsidP="002170A3">
            <w:pPr>
              <w:keepLines/>
              <w:numPr>
                <w:ilvl w:val="0"/>
                <w:numId w:val="10"/>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youth to successfully complete their treatment/services requirements</w:t>
            </w:r>
          </w:p>
          <w:p w:rsidR="002170A3" w:rsidRPr="002170A3" w:rsidRDefault="002170A3" w:rsidP="002170A3">
            <w:pPr>
              <w:keepLines/>
              <w:numPr>
                <w:ilvl w:val="0"/>
                <w:numId w:val="10"/>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youth enrolled in treatment/services</w:t>
            </w:r>
          </w:p>
          <w:p w:rsidR="002170A3" w:rsidRPr="002170A3" w:rsidRDefault="002170A3" w:rsidP="002170A3">
            <w:pPr>
              <w:keepLines/>
              <w:numPr>
                <w:ilvl w:val="0"/>
                <w:numId w:val="10"/>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Percent (A/B)</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trHeight w:val="1683"/>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and percent of youth to successfully complete their drug court requirements</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program quality based on the idea that well-operated drug courts with appropriate resources will have higher rates of completion than would poor quality programs.  Appropriate for any drug court.  Report the raw number of youth that successfully complete all of their drug court requirements (service, treatment, and legal).  Percent is the raw number divided by the total number of youth to enroll in the drug court.  Enrollment includes things like signing a participation agreement, assignment of a drug court case specialist, or appearing before a drug court judge.</w:t>
            </w:r>
          </w:p>
        </w:tc>
        <w:tc>
          <w:tcPr>
            <w:tcW w:w="2985" w:type="dxa"/>
          </w:tcPr>
          <w:p w:rsidR="002170A3" w:rsidRPr="002170A3" w:rsidRDefault="002170A3" w:rsidP="002170A3">
            <w:pPr>
              <w:keepLines/>
              <w:numPr>
                <w:ilvl w:val="0"/>
                <w:numId w:val="11"/>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youth to successfully complete their drug court requirements</w:t>
            </w:r>
          </w:p>
          <w:p w:rsidR="002170A3" w:rsidRPr="002170A3" w:rsidRDefault="002170A3" w:rsidP="002170A3">
            <w:pPr>
              <w:keepLines/>
              <w:numPr>
                <w:ilvl w:val="0"/>
                <w:numId w:val="11"/>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youth enrolled in the drug court</w:t>
            </w:r>
          </w:p>
          <w:p w:rsidR="002170A3" w:rsidRPr="002170A3" w:rsidRDefault="002170A3" w:rsidP="002170A3">
            <w:pPr>
              <w:keepLines/>
              <w:numPr>
                <w:ilvl w:val="0"/>
                <w:numId w:val="11"/>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Percent (A/B)</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trHeight w:val="1683"/>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Cost savings per youth</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program efficiency.  Appropriate for any drug court.  Report the average cost in dollars to adjudicate a youth through the drug court subtracted from the average cost for adjudication of cases by the regular court.</w:t>
            </w:r>
          </w:p>
        </w:tc>
        <w:tc>
          <w:tcPr>
            <w:tcW w:w="2985" w:type="dxa"/>
          </w:tcPr>
          <w:p w:rsidR="002170A3" w:rsidRPr="002170A3" w:rsidRDefault="002170A3" w:rsidP="002170A3">
            <w:pPr>
              <w:keepLines/>
              <w:numPr>
                <w:ilvl w:val="0"/>
                <w:numId w:val="12"/>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Average cost per gun court case</w:t>
            </w:r>
          </w:p>
          <w:p w:rsidR="002170A3" w:rsidRPr="002170A3" w:rsidRDefault="002170A3" w:rsidP="002170A3">
            <w:pPr>
              <w:keepLines/>
              <w:numPr>
                <w:ilvl w:val="0"/>
                <w:numId w:val="12"/>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Average cost per equivalent non-gun court case</w:t>
            </w:r>
          </w:p>
          <w:p w:rsidR="002170A3" w:rsidRPr="002170A3" w:rsidRDefault="002170A3" w:rsidP="002170A3">
            <w:pPr>
              <w:keepLines/>
              <w:numPr>
                <w:ilvl w:val="0"/>
                <w:numId w:val="12"/>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Cost savings (B-A)</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trHeight w:val="1683"/>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and percent of court appearances missed by drug court participants</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youth accountability.  Appropriate for any drug court.  Report the raw number of court appearances missed by drug court participants.  Percent is the raw number divided by the total number of court appearances scheduled.</w:t>
            </w:r>
          </w:p>
        </w:tc>
        <w:tc>
          <w:tcPr>
            <w:tcW w:w="2985" w:type="dxa"/>
          </w:tcPr>
          <w:p w:rsidR="002170A3" w:rsidRPr="002170A3" w:rsidRDefault="002170A3" w:rsidP="002170A3">
            <w:pPr>
              <w:keepLines/>
              <w:numPr>
                <w:ilvl w:val="0"/>
                <w:numId w:val="13"/>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missed court appearances</w:t>
            </w:r>
          </w:p>
          <w:p w:rsidR="002170A3" w:rsidRPr="002170A3" w:rsidRDefault="002170A3" w:rsidP="002170A3">
            <w:pPr>
              <w:keepLines/>
              <w:numPr>
                <w:ilvl w:val="0"/>
                <w:numId w:val="13"/>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court appearances schedule</w:t>
            </w:r>
          </w:p>
          <w:p w:rsidR="002170A3" w:rsidRPr="002170A3" w:rsidRDefault="002170A3" w:rsidP="002170A3">
            <w:pPr>
              <w:keepLines/>
              <w:numPr>
                <w:ilvl w:val="0"/>
                <w:numId w:val="13"/>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Percent (A/B)</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r w:rsidR="002170A3" w:rsidRPr="002170A3" w:rsidTr="002170A3">
        <w:trPr>
          <w:cantSplit/>
          <w:trHeight w:val="1683"/>
          <w:jc w:val="center"/>
        </w:trPr>
        <w:tc>
          <w:tcPr>
            <w:tcW w:w="408" w:type="dxa"/>
          </w:tcPr>
          <w:p w:rsidR="002170A3" w:rsidRPr="00B260C8" w:rsidRDefault="002170A3" w:rsidP="00B260C8">
            <w:pPr>
              <w:pStyle w:val="ListParagraph"/>
              <w:keepLines/>
              <w:numPr>
                <w:ilvl w:val="0"/>
                <w:numId w:val="36"/>
              </w:numPr>
              <w:spacing w:after="0" w:line="240" w:lineRule="auto"/>
              <w:jc w:val="center"/>
              <w:rPr>
                <w:rFonts w:ascii="Arial Narrow" w:hAnsi="Arial Narrow" w:cs="Tahoma"/>
                <w:sz w:val="18"/>
                <w:szCs w:val="18"/>
              </w:rPr>
            </w:pPr>
          </w:p>
        </w:tc>
        <w:tc>
          <w:tcPr>
            <w:tcW w:w="1977" w:type="dxa"/>
          </w:tcPr>
          <w:p w:rsidR="002170A3" w:rsidRPr="002170A3" w:rsidRDefault="002170A3" w:rsidP="002170A3">
            <w:pPr>
              <w:keepLines/>
              <w:spacing w:after="0" w:line="240" w:lineRule="auto"/>
              <w:rPr>
                <w:rFonts w:ascii="Arial Narrow" w:hAnsi="Arial Narrow" w:cs="Tahoma"/>
                <w:bCs/>
                <w:sz w:val="18"/>
                <w:szCs w:val="18"/>
              </w:rPr>
            </w:pPr>
            <w:r w:rsidRPr="002170A3">
              <w:rPr>
                <w:rFonts w:ascii="Arial Narrow" w:hAnsi="Arial Narrow" w:cs="Tahoma"/>
                <w:bCs/>
                <w:sz w:val="18"/>
                <w:szCs w:val="18"/>
              </w:rPr>
              <w:t>Number and percent of drug court participants for whom a bench warrant is issued</w:t>
            </w:r>
          </w:p>
        </w:tc>
        <w:tc>
          <w:tcPr>
            <w:tcW w:w="3800" w:type="dxa"/>
          </w:tcPr>
          <w:p w:rsidR="002170A3" w:rsidRPr="002170A3" w:rsidRDefault="002170A3" w:rsidP="002170A3">
            <w:pPr>
              <w:keepLines/>
              <w:spacing w:after="0" w:line="240" w:lineRule="auto"/>
              <w:rPr>
                <w:rFonts w:ascii="Arial Narrow" w:hAnsi="Arial Narrow" w:cs="Tahoma"/>
                <w:sz w:val="18"/>
                <w:szCs w:val="18"/>
              </w:rPr>
            </w:pPr>
            <w:r w:rsidRPr="002170A3">
              <w:rPr>
                <w:rFonts w:ascii="Arial Narrow" w:hAnsi="Arial Narrow" w:cs="Tahoma"/>
                <w:sz w:val="18"/>
                <w:szCs w:val="18"/>
              </w:rPr>
              <w:t>Measure of system accountability.  Appropriate for any drug court. Report the raw number of drug court participants to be issued a bench warrant.  Percent is the raw number divided by the number of drug court participants enrolled during any part of the reporting period.</w:t>
            </w:r>
          </w:p>
        </w:tc>
        <w:tc>
          <w:tcPr>
            <w:tcW w:w="2985" w:type="dxa"/>
          </w:tcPr>
          <w:p w:rsidR="002170A3" w:rsidRPr="002170A3" w:rsidRDefault="002170A3" w:rsidP="002170A3">
            <w:pPr>
              <w:keepLines/>
              <w:numPr>
                <w:ilvl w:val="0"/>
                <w:numId w:val="14"/>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participants issued a bench warrant</w:t>
            </w:r>
          </w:p>
          <w:p w:rsidR="002170A3" w:rsidRPr="002170A3" w:rsidRDefault="002170A3" w:rsidP="002170A3">
            <w:pPr>
              <w:keepLines/>
              <w:numPr>
                <w:ilvl w:val="0"/>
                <w:numId w:val="14"/>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Number of participants</w:t>
            </w:r>
          </w:p>
          <w:p w:rsidR="002170A3" w:rsidRPr="002170A3" w:rsidRDefault="002170A3" w:rsidP="002170A3">
            <w:pPr>
              <w:keepLines/>
              <w:numPr>
                <w:ilvl w:val="0"/>
                <w:numId w:val="14"/>
              </w:numPr>
              <w:tabs>
                <w:tab w:val="left" w:pos="288"/>
              </w:tabs>
              <w:spacing w:after="0" w:line="240" w:lineRule="auto"/>
              <w:ind w:left="288" w:hanging="288"/>
              <w:rPr>
                <w:rFonts w:ascii="Arial Narrow" w:hAnsi="Arial Narrow" w:cs="Tahoma"/>
                <w:sz w:val="18"/>
                <w:szCs w:val="18"/>
              </w:rPr>
            </w:pPr>
            <w:r w:rsidRPr="002170A3">
              <w:rPr>
                <w:rFonts w:ascii="Arial Narrow" w:hAnsi="Arial Narrow" w:cs="Tahoma"/>
                <w:sz w:val="18"/>
                <w:szCs w:val="18"/>
              </w:rPr>
              <w:t>Percent (A/B)</w:t>
            </w:r>
          </w:p>
        </w:tc>
        <w:tc>
          <w:tcPr>
            <w:tcW w:w="1830" w:type="dxa"/>
          </w:tcPr>
          <w:p w:rsidR="002170A3" w:rsidRPr="002170A3" w:rsidRDefault="002170A3" w:rsidP="002170A3">
            <w:pPr>
              <w:keepLines/>
              <w:spacing w:after="0" w:line="240" w:lineRule="auto"/>
              <w:ind w:left="720"/>
              <w:rPr>
                <w:rFonts w:ascii="Arial Narrow" w:hAnsi="Arial Narrow" w:cs="Tahoma"/>
                <w:sz w:val="18"/>
                <w:szCs w:val="18"/>
              </w:rPr>
            </w:pPr>
          </w:p>
        </w:tc>
      </w:tr>
    </w:tbl>
    <w:p w:rsidR="00AA4FBE" w:rsidRDefault="00AA4FBE"/>
    <w:sectPr w:rsidR="00AA4FBE" w:rsidSect="002170A3">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C5D" w:rsidRDefault="00895C5D" w:rsidP="002170A3">
      <w:pPr>
        <w:spacing w:after="0" w:line="240" w:lineRule="auto"/>
      </w:pPr>
      <w:r>
        <w:separator/>
      </w:r>
    </w:p>
  </w:endnote>
  <w:endnote w:type="continuationSeparator" w:id="0">
    <w:p w:rsidR="00895C5D" w:rsidRDefault="00895C5D" w:rsidP="00217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rsidR="002170A3" w:rsidRPr="002170A3" w:rsidRDefault="002170A3" w:rsidP="002170A3">
        <w:pPr>
          <w:pStyle w:val="NoSpacing"/>
          <w:tabs>
            <w:tab w:val="left" w:pos="10097"/>
            <w:tab w:val="right" w:pos="10800"/>
          </w:tabs>
          <w:rPr>
            <w:rFonts w:ascii="Arial" w:hAnsi="Arial" w:cs="Arial"/>
            <w:sz w:val="20"/>
            <w:szCs w:val="20"/>
          </w:rPr>
        </w:pPr>
        <w:r w:rsidRPr="00245DC4">
          <w:rPr>
            <w:rFonts w:ascii="Arial Narrow" w:hAnsi="Arial Narrow" w:cs="Arial"/>
            <w:color w:val="7F7F7F" w:themeColor="text1" w:themeTint="80"/>
            <w:sz w:val="20"/>
            <w:szCs w:val="20"/>
          </w:rPr>
          <w:t xml:space="preserve">OJJDP JABG Performance Measures: </w:t>
        </w:r>
        <w:r>
          <w:rPr>
            <w:rFonts w:ascii="Arial Narrow" w:hAnsi="Arial Narrow" w:cs="Arial"/>
            <w:color w:val="7F7F7F" w:themeColor="text1" w:themeTint="80"/>
            <w:sz w:val="20"/>
            <w:szCs w:val="20"/>
          </w:rPr>
          <w:t>Drug Courts</w:t>
        </w: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B260C8">
          <w:rPr>
            <w:rFonts w:ascii="Arial Narrow" w:hAnsi="Arial Narrow" w:cs="Arial"/>
            <w:noProof/>
          </w:rPr>
          <w:t>7</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C5D" w:rsidRDefault="00895C5D" w:rsidP="002170A3">
      <w:pPr>
        <w:spacing w:after="0" w:line="240" w:lineRule="auto"/>
      </w:pPr>
      <w:r>
        <w:separator/>
      </w:r>
    </w:p>
  </w:footnote>
  <w:footnote w:type="continuationSeparator" w:id="0">
    <w:p w:rsidR="00895C5D" w:rsidRDefault="00895C5D" w:rsidP="00217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0A3" w:rsidRPr="002170A3" w:rsidRDefault="002170A3" w:rsidP="002170A3">
    <w:pPr>
      <w:keepNext/>
      <w:spacing w:after="0" w:line="240" w:lineRule="auto"/>
      <w:jc w:val="center"/>
      <w:outlineLvl w:val="0"/>
      <w:rPr>
        <w:rFonts w:ascii="Arial Bold" w:eastAsia="Times New Roman" w:hAnsi="Arial Bold" w:cs="Times New Roman"/>
        <w:caps/>
        <w:kern w:val="28"/>
        <w:sz w:val="24"/>
        <w:szCs w:val="24"/>
      </w:rPr>
    </w:pPr>
    <w:r w:rsidRPr="002170A3">
      <w:rPr>
        <w:rFonts w:ascii="Arial Bold" w:eastAsia="Times New Roman" w:hAnsi="Arial Bold" w:cs="Times New Roman"/>
        <w:caps/>
        <w:kern w:val="28"/>
        <w:sz w:val="24"/>
        <w:szCs w:val="24"/>
      </w:rPr>
      <w:t xml:space="preserve">OFFICE OF JUVENILE JUSTICE AND DELINQUENCY PREVENTION </w:t>
    </w:r>
  </w:p>
  <w:p w:rsidR="002170A3" w:rsidRPr="002170A3" w:rsidRDefault="002170A3" w:rsidP="002170A3">
    <w:pPr>
      <w:keepNext/>
      <w:spacing w:before="100" w:after="100" w:line="240" w:lineRule="auto"/>
      <w:jc w:val="center"/>
      <w:outlineLvl w:val="0"/>
      <w:rPr>
        <w:rFonts w:ascii="Arial Bold" w:eastAsia="Times New Roman" w:hAnsi="Arial Bold" w:cs="Times New Roman"/>
        <w:caps/>
        <w:color w:val="003366"/>
        <w:kern w:val="28"/>
        <w:sz w:val="24"/>
        <w:szCs w:val="24"/>
      </w:rPr>
    </w:pPr>
    <w:r w:rsidRPr="002170A3">
      <w:rPr>
        <w:rFonts w:ascii="Arial Bold" w:eastAsia="Times New Roman" w:hAnsi="Arial Bold" w:cs="Times New Roman"/>
        <w:caps/>
        <w:color w:val="003366"/>
        <w:kern w:val="28"/>
        <w:sz w:val="24"/>
        <w:szCs w:val="24"/>
      </w:rPr>
      <w:t>Juvenile Accountability Block Grant Program</w:t>
    </w:r>
  </w:p>
  <w:p w:rsidR="00C2205D" w:rsidRPr="002170A3" w:rsidRDefault="002170A3" w:rsidP="002170A3">
    <w:pPr>
      <w:keepNext/>
      <w:spacing w:before="240" w:after="240" w:line="240" w:lineRule="auto"/>
      <w:jc w:val="center"/>
      <w:outlineLvl w:val="0"/>
      <w:rPr>
        <w:rFonts w:ascii="Arial Bold" w:eastAsia="Times New Roman" w:hAnsi="Arial Bold" w:cs="Times New Roman"/>
        <w:b/>
        <w:caps/>
        <w:kern w:val="28"/>
        <w:szCs w:val="24"/>
      </w:rPr>
    </w:pPr>
    <w:r w:rsidRPr="002170A3">
      <w:rPr>
        <w:rFonts w:ascii="Arial Bold" w:eastAsia="Times New Roman" w:hAnsi="Arial Bold" w:cs="Times New Roman"/>
        <w:b/>
        <w:caps/>
        <w:kern w:val="28"/>
        <w:szCs w:val="24"/>
      </w:rPr>
      <w:t xml:space="preserve">PURPOSE Area: </w:t>
    </w:r>
    <w:r w:rsidRPr="002170A3">
      <w:rPr>
        <w:rFonts w:ascii="Arial Bold" w:eastAsia="Times New Roman" w:hAnsi="Arial Bold" w:cs="Times New Roman"/>
        <w:b/>
        <w:caps/>
        <w:color w:val="003366"/>
        <w:kern w:val="28"/>
        <w:szCs w:val="24"/>
      </w:rPr>
      <w:t>Drug Courts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2EBB"/>
    <w:multiLevelType w:val="hybridMultilevel"/>
    <w:tmpl w:val="4A7E2D6E"/>
    <w:lvl w:ilvl="0" w:tplc="2F8C8CC2">
      <w:start w:val="1"/>
      <w:numFmt w:val="upperLetter"/>
      <w:lvlText w:val="%1."/>
      <w:lvlJc w:val="left"/>
      <w:pPr>
        <w:ind w:left="720" w:hanging="360"/>
      </w:pPr>
      <w:rPr>
        <w:rFonts w:ascii="Arial Narrow" w:eastAsiaTheme="minorHAnsi" w:hAnsi="Arial Narrow"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42A82"/>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0542A"/>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76546"/>
    <w:multiLevelType w:val="hybridMultilevel"/>
    <w:tmpl w:val="8EE08D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713E4"/>
    <w:multiLevelType w:val="hybridMultilevel"/>
    <w:tmpl w:val="0B12F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3286B"/>
    <w:multiLevelType w:val="hybridMultilevel"/>
    <w:tmpl w:val="62B639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204C1"/>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A18D5"/>
    <w:multiLevelType w:val="hybridMultilevel"/>
    <w:tmpl w:val="73FCF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BE0434"/>
    <w:multiLevelType w:val="hybridMultilevel"/>
    <w:tmpl w:val="0B12F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D11C80"/>
    <w:multiLevelType w:val="hybridMultilevel"/>
    <w:tmpl w:val="250C82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65865"/>
    <w:multiLevelType w:val="hybridMultilevel"/>
    <w:tmpl w:val="ACBC1B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670F20"/>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B44D5"/>
    <w:multiLevelType w:val="hybridMultilevel"/>
    <w:tmpl w:val="47EA41EA"/>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F27DF3"/>
    <w:multiLevelType w:val="hybridMultilevel"/>
    <w:tmpl w:val="744CE846"/>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AA2D0F"/>
    <w:multiLevelType w:val="hybridMultilevel"/>
    <w:tmpl w:val="0B12F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5C3B4A"/>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C6789"/>
    <w:multiLevelType w:val="hybridMultilevel"/>
    <w:tmpl w:val="B83099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F5B38"/>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284D1E"/>
    <w:multiLevelType w:val="hybridMultilevel"/>
    <w:tmpl w:val="6A467F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A7636"/>
    <w:multiLevelType w:val="hybridMultilevel"/>
    <w:tmpl w:val="73FCF5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CB1701"/>
    <w:multiLevelType w:val="hybridMultilevel"/>
    <w:tmpl w:val="A8DEFC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D5B01"/>
    <w:multiLevelType w:val="hybridMultilevel"/>
    <w:tmpl w:val="132240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235E9C"/>
    <w:multiLevelType w:val="hybridMultilevel"/>
    <w:tmpl w:val="A4F02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9C7B69"/>
    <w:multiLevelType w:val="hybridMultilevel"/>
    <w:tmpl w:val="98989B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E078E"/>
    <w:multiLevelType w:val="hybridMultilevel"/>
    <w:tmpl w:val="51DA76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130820"/>
    <w:multiLevelType w:val="hybridMultilevel"/>
    <w:tmpl w:val="A4F02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947B0"/>
    <w:multiLevelType w:val="hybridMultilevel"/>
    <w:tmpl w:val="D11A49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16527E"/>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26543"/>
    <w:multiLevelType w:val="hybridMultilevel"/>
    <w:tmpl w:val="C71C22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311E09"/>
    <w:multiLevelType w:val="hybridMultilevel"/>
    <w:tmpl w:val="A4F02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4F1F5B"/>
    <w:multiLevelType w:val="hybridMultilevel"/>
    <w:tmpl w:val="FFE0FE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7761F8"/>
    <w:multiLevelType w:val="hybridMultilevel"/>
    <w:tmpl w:val="A4F02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685CFE"/>
    <w:multiLevelType w:val="hybridMultilevel"/>
    <w:tmpl w:val="2B247F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836354"/>
    <w:multiLevelType w:val="hybridMultilevel"/>
    <w:tmpl w:val="CA78D7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360E75"/>
    <w:multiLevelType w:val="hybridMultilevel"/>
    <w:tmpl w:val="80BC4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A238F7"/>
    <w:multiLevelType w:val="hybridMultilevel"/>
    <w:tmpl w:val="0B12F7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BA3747"/>
    <w:multiLevelType w:val="hybridMultilevel"/>
    <w:tmpl w:val="9F1EA9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2"/>
  </w:num>
  <w:num w:numId="3">
    <w:abstractNumId w:val="25"/>
  </w:num>
  <w:num w:numId="4">
    <w:abstractNumId w:val="21"/>
  </w:num>
  <w:num w:numId="5">
    <w:abstractNumId w:val="10"/>
  </w:num>
  <w:num w:numId="6">
    <w:abstractNumId w:val="11"/>
  </w:num>
  <w:num w:numId="7">
    <w:abstractNumId w:val="1"/>
  </w:num>
  <w:num w:numId="8">
    <w:abstractNumId w:val="6"/>
  </w:num>
  <w:num w:numId="9">
    <w:abstractNumId w:val="17"/>
  </w:num>
  <w:num w:numId="10">
    <w:abstractNumId w:val="2"/>
  </w:num>
  <w:num w:numId="11">
    <w:abstractNumId w:val="35"/>
  </w:num>
  <w:num w:numId="12">
    <w:abstractNumId w:val="4"/>
  </w:num>
  <w:num w:numId="13">
    <w:abstractNumId w:val="14"/>
  </w:num>
  <w:num w:numId="14">
    <w:abstractNumId w:val="8"/>
  </w:num>
  <w:num w:numId="15">
    <w:abstractNumId w:val="23"/>
  </w:num>
  <w:num w:numId="16">
    <w:abstractNumId w:val="18"/>
  </w:num>
  <w:num w:numId="17">
    <w:abstractNumId w:val="30"/>
  </w:num>
  <w:num w:numId="18">
    <w:abstractNumId w:val="27"/>
  </w:num>
  <w:num w:numId="19">
    <w:abstractNumId w:val="28"/>
  </w:num>
  <w:num w:numId="20">
    <w:abstractNumId w:val="16"/>
  </w:num>
  <w:num w:numId="21">
    <w:abstractNumId w:val="33"/>
  </w:num>
  <w:num w:numId="22">
    <w:abstractNumId w:val="32"/>
  </w:num>
  <w:num w:numId="23">
    <w:abstractNumId w:val="36"/>
  </w:num>
  <w:num w:numId="24">
    <w:abstractNumId w:val="9"/>
  </w:num>
  <w:num w:numId="25">
    <w:abstractNumId w:val="29"/>
  </w:num>
  <w:num w:numId="26">
    <w:abstractNumId w:val="26"/>
  </w:num>
  <w:num w:numId="27">
    <w:abstractNumId w:val="15"/>
  </w:num>
  <w:num w:numId="28">
    <w:abstractNumId w:val="24"/>
  </w:num>
  <w:num w:numId="29">
    <w:abstractNumId w:val="7"/>
  </w:num>
  <w:num w:numId="30">
    <w:abstractNumId w:val="19"/>
  </w:num>
  <w:num w:numId="31">
    <w:abstractNumId w:val="5"/>
  </w:num>
  <w:num w:numId="32">
    <w:abstractNumId w:val="34"/>
  </w:num>
  <w:num w:numId="33">
    <w:abstractNumId w:val="3"/>
  </w:num>
  <w:num w:numId="34">
    <w:abstractNumId w:val="0"/>
  </w:num>
  <w:num w:numId="35">
    <w:abstractNumId w:val="20"/>
  </w:num>
  <w:num w:numId="36">
    <w:abstractNumId w:val="12"/>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A3"/>
    <w:rsid w:val="002170A3"/>
    <w:rsid w:val="00895C5D"/>
    <w:rsid w:val="00AA4FBE"/>
    <w:rsid w:val="00B260C8"/>
    <w:rsid w:val="00E215CB"/>
    <w:rsid w:val="00E66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99AD5-8BCF-43B4-A783-B0DEB80B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0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0A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170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0A3"/>
  </w:style>
  <w:style w:type="paragraph" w:styleId="Footer">
    <w:name w:val="footer"/>
    <w:basedOn w:val="Normal"/>
    <w:link w:val="FooterChar"/>
    <w:uiPriority w:val="99"/>
    <w:unhideWhenUsed/>
    <w:rsid w:val="002170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0A3"/>
  </w:style>
  <w:style w:type="paragraph" w:styleId="NoSpacing">
    <w:name w:val="No Spacing"/>
    <w:uiPriority w:val="1"/>
    <w:qFormat/>
    <w:rsid w:val="002170A3"/>
    <w:pPr>
      <w:spacing w:after="0" w:line="240" w:lineRule="auto"/>
    </w:pPr>
  </w:style>
  <w:style w:type="paragraph" w:styleId="ListParagraph">
    <w:name w:val="List Paragraph"/>
    <w:basedOn w:val="Normal"/>
    <w:uiPriority w:val="34"/>
    <w:qFormat/>
    <w:rsid w:val="00B26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3087</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Kim</dc:creator>
  <cp:lastModifiedBy>Betancourt, Leah</cp:lastModifiedBy>
  <cp:revision>2</cp:revision>
  <dcterms:created xsi:type="dcterms:W3CDTF">2021-07-23T12:41:00Z</dcterms:created>
  <dcterms:modified xsi:type="dcterms:W3CDTF">2021-07-23T12:41:00Z</dcterms:modified>
</cp:coreProperties>
</file>