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4452">
      <w:pPr>
        <w:spacing w:after="240"/>
        <w:rPr>
          <w:rFonts w:eastAsia="Times New Roman"/>
        </w:rPr>
      </w:pPr>
      <w:bookmarkStart w:id="0" w:name="_GoBack"/>
      <w:bookmarkEnd w:id="0"/>
    </w:p>
    <w:p w:rsidR="00000000" w:rsidRDefault="00C24452">
      <w:pPr>
        <w:jc w:val="center"/>
        <w:rPr>
          <w:rFonts w:eastAsia="Times New Roman"/>
          <w:b/>
          <w:bCs/>
          <w:sz w:val="23"/>
          <w:szCs w:val="23"/>
        </w:rPr>
      </w:pPr>
      <w:r>
        <w:rPr>
          <w:rFonts w:eastAsia="Times New Roman"/>
          <w:b/>
          <w:bCs/>
          <w:sz w:val="23"/>
          <w:szCs w:val="23"/>
        </w:rPr>
        <w:t>EDUCATION, TRAINING AND OTHER ACTIVITIES</w:t>
      </w:r>
      <w:r>
        <w:rPr>
          <w:rFonts w:eastAsia="Times New Roman"/>
          <w:b/>
          <w:bCs/>
          <w:sz w:val="23"/>
          <w:szCs w:val="23"/>
        </w:rPr>
        <w:br/>
      </w:r>
      <w:r>
        <w:rPr>
          <w:rFonts w:eastAsia="Times New Roman"/>
          <w:b/>
          <w:bCs/>
          <w:sz w:val="23"/>
          <w:szCs w:val="23"/>
        </w:rPr>
        <w:br/>
      </w:r>
      <w:r>
        <w:rPr>
          <w:rFonts w:eastAsia="Times New Roman"/>
          <w:b/>
          <w:bCs/>
          <w:i/>
          <w:iCs/>
          <w:sz w:val="23"/>
          <w:szCs w:val="23"/>
        </w:rPr>
        <w:t>IF (2) APPEARS ABOVE, SELECT (2) TO VIEW ADDITIONAL QUESTIONS IN THAT SECTION.</w:t>
      </w:r>
    </w:p>
    <w:p w:rsidR="00000000" w:rsidRDefault="00C24452">
      <w:pPr>
        <w:jc w:val="center"/>
        <w:rPr>
          <w:rFonts w:eastAsia="Times New Roman"/>
          <w:b/>
          <w:bCs/>
          <w:sz w:val="23"/>
          <w:szCs w:val="23"/>
        </w:rPr>
      </w:pPr>
      <w:r>
        <w:rPr>
          <w:rFonts w:eastAsia="Times New Roman"/>
          <w:b/>
          <w:bCs/>
          <w:sz w:val="23"/>
          <w:szCs w:val="23"/>
          <w:u w:val="single"/>
        </w:rPr>
        <w:t>OUTPUT</w:t>
      </w:r>
      <w:r>
        <w:rPr>
          <w:rFonts w:eastAsia="Times New Roman"/>
          <w:b/>
          <w:bCs/>
          <w:sz w:val="23"/>
          <w:szCs w:val="23"/>
        </w:rPr>
        <w:t xml:space="preserve"> PERFORMANCE MEASURES</w:t>
      </w:r>
    </w:p>
    <w:p w:rsidR="00000000" w:rsidRDefault="00C24452">
      <w:pPr>
        <w:divId w:val="2005861999"/>
        <w:rPr>
          <w:rFonts w:eastAsia="Times New Roman"/>
        </w:rPr>
      </w:pPr>
      <w:r>
        <w:rPr>
          <w:rFonts w:eastAsia="Times New Roman"/>
        </w:rPr>
        <w:t>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30"/>
        <w:gridCol w:w="1711"/>
        <w:gridCol w:w="4490"/>
        <w:gridCol w:w="2101"/>
      </w:tblGrid>
      <w:tr w:rsidR="00000000">
        <w:trPr>
          <w:cantSplit/>
          <w:tblHeader/>
          <w:tblCellSpacing w:w="0" w:type="dxa"/>
        </w:trPr>
        <w:tc>
          <w:tcPr>
            <w:tcW w:w="0" w:type="auto"/>
            <w:tcBorders>
              <w:top w:val="single" w:sz="6" w:space="0" w:color="000000"/>
              <w:left w:val="single" w:sz="6" w:space="0" w:color="000000"/>
              <w:right w:val="single" w:sz="6" w:space="0" w:color="000000"/>
            </w:tcBorders>
            <w:shd w:val="clear" w:color="auto" w:fill="C8C8C8"/>
            <w:vAlign w:val="center"/>
            <w:hideMark/>
          </w:tcPr>
          <w:p w:rsidR="00000000" w:rsidRDefault="00C24452">
            <w:pPr>
              <w:keepLines/>
              <w:rPr>
                <w:rFonts w:ascii="Arial Narrow" w:eastAsia="Times New Roman" w:hAnsi="Arial Narrow"/>
              </w:rPr>
            </w:pPr>
            <w:r>
              <w:rPr>
                <w:rStyle w:val="Strong"/>
                <w:rFonts w:ascii="Arial Narrow" w:eastAsia="Times New Roman" w:hAnsi="Arial Narrow"/>
              </w:rPr>
              <w:t>#</w:t>
            </w:r>
          </w:p>
        </w:tc>
        <w:tc>
          <w:tcPr>
            <w:tcW w:w="0" w:type="auto"/>
            <w:tcBorders>
              <w:top w:val="single" w:sz="6" w:space="0" w:color="000000"/>
              <w:right w:val="single" w:sz="6" w:space="0" w:color="000000"/>
            </w:tcBorders>
            <w:shd w:val="clear" w:color="auto" w:fill="C8C8C8"/>
            <w:vAlign w:val="center"/>
            <w:hideMark/>
          </w:tcPr>
          <w:p w:rsidR="00000000" w:rsidRDefault="00C24452">
            <w:pPr>
              <w:keepLines/>
              <w:rPr>
                <w:rFonts w:ascii="Arial Narrow" w:eastAsia="Times New Roman" w:hAnsi="Arial Narrow"/>
              </w:rPr>
            </w:pPr>
            <w:r>
              <w:rPr>
                <w:rStyle w:val="Strong"/>
                <w:rFonts w:ascii="Arial Narrow" w:eastAsia="Times New Roman" w:hAnsi="Arial Narrow"/>
              </w:rPr>
              <w:t>Output Measure</w:t>
            </w:r>
          </w:p>
        </w:tc>
        <w:tc>
          <w:tcPr>
            <w:tcW w:w="0" w:type="auto"/>
            <w:tcBorders>
              <w:top w:val="single" w:sz="6" w:space="0" w:color="000000"/>
              <w:right w:val="single" w:sz="6" w:space="0" w:color="000000"/>
            </w:tcBorders>
            <w:shd w:val="clear" w:color="auto" w:fill="C8C8C8"/>
            <w:vAlign w:val="center"/>
            <w:hideMark/>
          </w:tcPr>
          <w:p w:rsidR="00000000" w:rsidRDefault="00C24452">
            <w:pPr>
              <w:keepLines/>
              <w:rPr>
                <w:rFonts w:ascii="Arial Narrow" w:eastAsia="Times New Roman" w:hAnsi="Arial Narrow"/>
              </w:rPr>
            </w:pPr>
            <w:r>
              <w:rPr>
                <w:rStyle w:val="Strong"/>
                <w:rFonts w:ascii="Arial Narrow" w:eastAsia="Times New Roman" w:hAnsi="Arial Narrow"/>
              </w:rPr>
              <w:t>Definition</w:t>
            </w:r>
          </w:p>
        </w:tc>
        <w:tc>
          <w:tcPr>
            <w:tcW w:w="0" w:type="auto"/>
            <w:tcBorders>
              <w:top w:val="single" w:sz="6" w:space="0" w:color="000000"/>
            </w:tcBorders>
            <w:shd w:val="clear" w:color="auto" w:fill="C8C8C8"/>
            <w:noWrap/>
            <w:vAlign w:val="center"/>
            <w:hideMark/>
          </w:tcPr>
          <w:p w:rsidR="00000000" w:rsidRDefault="00C24452">
            <w:pPr>
              <w:keepLines/>
              <w:rPr>
                <w:rFonts w:ascii="Arial Narrow" w:eastAsia="Times New Roman" w:hAnsi="Arial Narrow"/>
              </w:rPr>
            </w:pPr>
            <w:r>
              <w:rPr>
                <w:rStyle w:val="Strong"/>
                <w:rFonts w:ascii="Arial Narrow" w:eastAsia="Times New Roman" w:hAnsi="Arial Narrow"/>
              </w:rPr>
              <w:t>Reporting Format</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AMOUNT OF EUDL FUNDS USED DURING THE REPORTING PERIOD TOWARD EDUCATION, TRAINING, AND OTHER ACTIVITIES</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The intent of the question is to provide OJJDP with an estimate of the amount of the award expended on activities that fall under program category Educat</w:t>
            </w:r>
            <w:r>
              <w:rPr>
                <w:rFonts w:ascii="Arial Narrow" w:eastAsia="Times New Roman" w:hAnsi="Arial Narrow"/>
                <w:sz w:val="18"/>
                <w:szCs w:val="18"/>
              </w:rPr>
              <w:t xml:space="preserve">ion, Training, and Other. The amount will represent Education, Training and Other activities for the 6-month period. At the end of the award 19s project period, each reporting period 19s used amount (from all program categories) should add up to the total </w:t>
            </w:r>
            <w:r>
              <w:rPr>
                <w:rFonts w:ascii="Arial Narrow" w:eastAsia="Times New Roman" w:hAnsi="Arial Narrow"/>
                <w:sz w:val="18"/>
                <w:szCs w:val="18"/>
              </w:rPr>
              <w:t>amount of the award.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 xml:space="preserve">Enter the amount of funds used during the reporting period for </w:t>
            </w:r>
            <w:r>
              <w:rPr>
                <w:rFonts w:ascii="Arial Narrow" w:eastAsia="Times New Roman" w:hAnsi="Arial Narrow"/>
                <w:b/>
                <w:bCs/>
                <w:sz w:val="18"/>
                <w:szCs w:val="18"/>
              </w:rPr>
              <w:t>Education, Training, and Other activities</w:t>
            </w:r>
            <w:r>
              <w:rPr>
                <w:rFonts w:ascii="Arial Narrow" w:eastAsia="Times New Roman" w:hAnsi="Arial Narrow"/>
                <w:sz w:val="18"/>
                <w:szCs w:val="18"/>
              </w:rPr>
              <w:t xml:space="preserve">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TRAINING EVENTS HELD DURING THE REPORTING PERIOD.</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training activities held during the reporting period. T</w:t>
            </w:r>
            <w:r>
              <w:rPr>
                <w:rFonts w:ascii="Arial Narrow" w:eastAsia="Times New Roman" w:hAnsi="Arial Narrow"/>
                <w:sz w:val="18"/>
                <w:szCs w:val="18"/>
              </w:rPr>
              <w:t>raining activities include creation of task forces or interagency committees, meetings held, needs assessments undertaken, etc. The preferred data source is program records.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 xml:space="preserve">Number of training activities held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PROGRAM MATERIALS DEVELOPED</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The number of program materials related to education, training, and other activities that were developed during the reporting period. Include only substantive materials such as informational material and handouts, trai</w:t>
            </w:r>
            <w:r>
              <w:rPr>
                <w:rFonts w:ascii="Arial Narrow" w:eastAsia="Times New Roman" w:hAnsi="Arial Narrow"/>
                <w:sz w:val="18"/>
                <w:szCs w:val="18"/>
              </w:rPr>
              <w:t>ning materials, program materials, and educational information. Do not include program advertisements or administrative forms such as sign-in sheets or tracking forms. Count the number of pieces developed. The preferred data source is program records.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w:t>
            </w:r>
            <w:r>
              <w:rPr>
                <w:rFonts w:ascii="Arial Narrow" w:eastAsia="Times New Roman" w:hAnsi="Arial Narrow"/>
                <w:sz w:val="18"/>
                <w:szCs w:val="18"/>
              </w:rPr>
              <w:t xml:space="preserve">ber of program materials related to education, training, and other activities that were developed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AND PERCENT OF PROGRAMS USING EVIDENCE-BASED STRATEGIES</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The number and percent of programs funded by the EUDL using evi</w:t>
            </w:r>
            <w:r>
              <w:rPr>
                <w:rFonts w:ascii="Arial Narrow" w:eastAsia="Times New Roman" w:hAnsi="Arial Narrow"/>
                <w:sz w:val="18"/>
                <w:szCs w:val="18"/>
              </w:rPr>
              <w:t>dence-based strategies. For the EUDL program, evidence-based strategies are those that have been shown, through rigorous evaluation and replication, to be effective at preventing or reducing underage drinking. Examples of these can be found on pages 26 thr</w:t>
            </w:r>
            <w:r>
              <w:rPr>
                <w:rFonts w:ascii="Arial Narrow" w:eastAsia="Times New Roman" w:hAnsi="Arial Narrow"/>
                <w:sz w:val="18"/>
                <w:szCs w:val="18"/>
              </w:rPr>
              <w:t>ough 30 of the following publication and are generally indicated by a classification of 1Chigh priority 1D: http://www.udetc.org/documents/strategies.pdf Compliance checks are a high-priority strategy, whereas Cops in Shops is a low-priority strategy based</w:t>
            </w:r>
            <w:r>
              <w:rPr>
                <w:rFonts w:ascii="Arial Narrow" w:eastAsia="Times New Roman" w:hAnsi="Arial Narrow"/>
                <w:sz w:val="18"/>
                <w:szCs w:val="18"/>
              </w:rPr>
              <w:t xml:space="preserve"> on research that indicates their respective effectiveness. Evidence-based strategies for EUDL typically fall under four categories: 1) limits on access to alcohol; 2) a community culture against underage drinking; 3) strategies to reduce underage drinking</w:t>
            </w:r>
            <w:r>
              <w:rPr>
                <w:rFonts w:ascii="Arial Narrow" w:eastAsia="Times New Roman" w:hAnsi="Arial Narrow"/>
                <w:sz w:val="18"/>
                <w:szCs w:val="18"/>
              </w:rPr>
              <w:t xml:space="preserve"> and driving; and 4) school- and youth organization 13based strategies.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28"/>
            </w:tblGrid>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programs funded using evidence based strategies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Total number of programs funded</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Percent (A/B)</w:t>
                  </w:r>
                </w:p>
              </w:tc>
            </w:tr>
          </w:tbl>
          <w:p w:rsidR="00000000" w:rsidRDefault="00C24452">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PEOPLE TRAINED</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people trained during the reporting period (including students, parents, teachers, law enforcement, bar and liquor store owners, etc.). The number is the raw number of people receiving any formal training relevant to the program or their position</w:t>
            </w:r>
            <w:r>
              <w:rPr>
                <w:rFonts w:ascii="Arial Narrow" w:eastAsia="Times New Roman" w:hAnsi="Arial Narrow"/>
                <w:sz w:val="18"/>
                <w:szCs w:val="18"/>
              </w:rPr>
              <w:t xml:space="preserve"> as program staff. Include any training from any source or medium received during the reporting period as long as receipt of training can be verified. Training does not have to have been completed during the reporting period. The preferred data source is p</w:t>
            </w:r>
            <w:r>
              <w:rPr>
                <w:rFonts w:ascii="Arial Narrow" w:eastAsia="Times New Roman" w:hAnsi="Arial Narrow"/>
                <w:sz w:val="18"/>
                <w:szCs w:val="18"/>
              </w:rPr>
              <w:t>rogram records.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 xml:space="preserve">Number of people trained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lastRenderedPageBreak/>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TRAINING REQUESTS RECEIVED</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training requests received during the reporting period. Requests can come from individuals or organizations served.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training</w:t>
            </w:r>
            <w:r>
              <w:rPr>
                <w:rFonts w:ascii="Arial Narrow" w:eastAsia="Times New Roman" w:hAnsi="Arial Narrow"/>
                <w:sz w:val="18"/>
                <w:szCs w:val="18"/>
              </w:rPr>
              <w:t xml:space="preserve"> requests received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TYPE OF EDUCATIONAL ACTIVITIES CONDUCTED, DURING THE REPORTING PERIOD, RELATIVE TO ANY OF THE FOLLOWING TOPICS (SEE LIST AT RIGHT)</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Indicate whether educational activities were conducted, during the reporti</w:t>
            </w:r>
            <w:r>
              <w:rPr>
                <w:rFonts w:ascii="Arial Narrow" w:eastAsia="Times New Roman" w:hAnsi="Arial Narrow"/>
                <w:sz w:val="18"/>
                <w:szCs w:val="18"/>
              </w:rPr>
              <w:t>ng period, regarding any of the topics in the list. Respond Yes or No to each item in the list.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25"/>
              <w:gridCol w:w="1711"/>
            </w:tblGrid>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Restrict zoning (outlet locations, density)</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Restrict hours of sale</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Prohibit persons under 21 into bars/nightclubs and/or other adult locations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D.</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Enact keg registration laws/ordinances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E.</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Restrict the availability of alcohol at community festivals and other community events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F.</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Restrict industry sponsorship of public events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G.</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Require conditional use permits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H.</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Ban concurrent sales of alcohol and</w:t>
                  </w:r>
                  <w:r>
                    <w:rPr>
                      <w:rFonts w:ascii="Arial Narrow" w:eastAsia="Times New Roman" w:hAnsi="Arial Narrow"/>
                      <w:sz w:val="18"/>
                      <w:szCs w:val="18"/>
                    </w:rPr>
                    <w:t xml:space="preserve"> gasoline</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I.</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Restrict alcohol marketing</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J.</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Increase penalties for retail/commercial providers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K.</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Increase penalties for social providers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L.</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Enact social host liability ordinances/laws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M.</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Enact dram shop liability ordinances/laws</w:t>
                  </w:r>
                </w:p>
              </w:tc>
            </w:tr>
          </w:tbl>
          <w:p w:rsidR="00000000" w:rsidRDefault="00C24452">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TRAINING CURRICULA DEVELOP</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training curricula developed during the reporting period, including lessons plans and programs.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 xml:space="preserve">Number of training curricula developed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TRAINING CURRICULA DEVELOPED WI</w:t>
            </w:r>
            <w:r>
              <w:rPr>
                <w:rFonts w:ascii="Arial Narrow" w:eastAsia="Times New Roman" w:hAnsi="Arial Narrow"/>
                <w:b/>
                <w:bCs/>
                <w:sz w:val="18"/>
                <w:szCs w:val="18"/>
              </w:rPr>
              <w:t>TH EUDL FUNDS EVALUATED AS EFFECTIVE</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 xml:space="preserve">Number and percentage of developed training curricula evaluated as effective (e.g., training participants learn knowledge/skills as intended). Training curricula can address any aspect of the EUDL grant program. Agency </w:t>
            </w:r>
            <w:r>
              <w:rPr>
                <w:rFonts w:ascii="Arial Narrow" w:eastAsia="Times New Roman" w:hAnsi="Arial Narrow"/>
                <w:sz w:val="18"/>
                <w:szCs w:val="18"/>
              </w:rPr>
              <w:t>records are the preferred source of data.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28"/>
            </w:tblGrid>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training curricula developed with EUDL funds during the reporting period that are evaluated as effective</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training curricula development projects</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Percent (A/B)</w:t>
                  </w:r>
                </w:p>
              </w:tc>
            </w:tr>
          </w:tbl>
          <w:p w:rsidR="00000000" w:rsidRDefault="00C24452">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lastRenderedPageBreak/>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TRAINING PRODUCTS DEVELOPED</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EUDL-related training products developed, including brochures, manuals, handouts, and workbooks </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 xml:space="preserve">Number of EUDL-related training products developed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INDIVIDUALS TRAIN</w:t>
            </w:r>
            <w:r>
              <w:rPr>
                <w:rFonts w:ascii="Arial Narrow" w:eastAsia="Times New Roman" w:hAnsi="Arial Narrow"/>
                <w:b/>
                <w:bCs/>
                <w:sz w:val="18"/>
                <w:szCs w:val="18"/>
              </w:rPr>
              <w:t>ED, DURING THE REPORTING PERIOD, WITH CURRICULA EVALUATED AS EFFECTIVE</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and percentage of individuals who completed training using a training curriculum evaluated as effective. The preferred data source are program records .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28"/>
            </w:tblGrid>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individuals</w:t>
                  </w:r>
                  <w:r>
                    <w:rPr>
                      <w:rFonts w:ascii="Arial Narrow" w:eastAsia="Times New Roman" w:hAnsi="Arial Narrow"/>
                      <w:sz w:val="18"/>
                      <w:szCs w:val="18"/>
                    </w:rPr>
                    <w:t xml:space="preserve"> trained using a curriculum developed and evaluated as effective during the reporting period</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individuals trained during the reporting period</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Percent (A/B)</w:t>
                  </w:r>
                </w:p>
              </w:tc>
            </w:tr>
          </w:tbl>
          <w:p w:rsidR="00000000" w:rsidRDefault="00C24452">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b/>
                <w:bCs/>
                <w:sz w:val="18"/>
                <w:szCs w:val="18"/>
              </w:rPr>
            </w:pPr>
            <w:r>
              <w:rPr>
                <w:rFonts w:ascii="Arial Narrow" w:eastAsia="Times New Roman" w:hAnsi="Arial Narrow"/>
                <w:b/>
                <w:bCs/>
                <w:sz w:val="18"/>
                <w:szCs w:val="18"/>
              </w:rPr>
              <w:t>NUMBER OF PEOPLE EXHIBITING INCREASED KNOWLEDGE OF THE PROGRAM AREA</w:t>
            </w:r>
          </w:p>
        </w:tc>
        <w:tc>
          <w:tcPr>
            <w:tcW w:w="0" w:type="auto"/>
            <w:tcBorders>
              <w:top w:val="single" w:sz="6" w:space="0" w:color="000000"/>
              <w:bottom w:val="single" w:sz="6" w:space="0" w:color="000000"/>
              <w:right w:val="single" w:sz="6" w:space="0" w:color="000000"/>
            </w:tcBorders>
            <w:vAlign w:val="center"/>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The number of people who exhibit an increased knowledge of the program area after participating in training. Use of pre- and post- tests is preferred.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28"/>
            </w:tblGrid>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people exhibiting an increase in knowledge post-training</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Number of people trained durin</w:t>
                  </w:r>
                  <w:r>
                    <w:rPr>
                      <w:rFonts w:ascii="Arial Narrow" w:eastAsia="Times New Roman" w:hAnsi="Arial Narrow"/>
                      <w:sz w:val="18"/>
                      <w:szCs w:val="18"/>
                    </w:rPr>
                    <w:t>g the reporting period</w:t>
                  </w:r>
                </w:p>
              </w:tc>
            </w:tr>
            <w:tr w:rsidR="00000000">
              <w:trPr>
                <w:cantSplit/>
                <w:tblCellSpacing w:w="0" w:type="dxa"/>
              </w:trPr>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C24452">
                  <w:pPr>
                    <w:keepLines/>
                    <w:rPr>
                      <w:rFonts w:ascii="Arial Narrow" w:eastAsia="Times New Roman" w:hAnsi="Arial Narrow"/>
                      <w:sz w:val="18"/>
                      <w:szCs w:val="18"/>
                    </w:rPr>
                  </w:pPr>
                  <w:r>
                    <w:rPr>
                      <w:rFonts w:ascii="Arial Narrow" w:eastAsia="Times New Roman" w:hAnsi="Arial Narrow"/>
                      <w:sz w:val="18"/>
                      <w:szCs w:val="18"/>
                    </w:rPr>
                    <w:t>Percent A/B (people trained who exhibited increased knowledge)</w:t>
                  </w:r>
                </w:p>
              </w:tc>
            </w:tr>
          </w:tbl>
          <w:p w:rsidR="00000000" w:rsidRDefault="00C24452">
            <w:pPr>
              <w:keepLines/>
              <w:rPr>
                <w:rFonts w:ascii="Arial Narrow" w:eastAsia="Times New Roman" w:hAnsi="Arial Narrow"/>
                <w:sz w:val="18"/>
                <w:szCs w:val="18"/>
              </w:rPr>
            </w:pPr>
          </w:p>
        </w:tc>
      </w:tr>
    </w:tbl>
    <w:p w:rsidR="00000000" w:rsidRDefault="00C24452">
      <w:pPr>
        <w:divId w:val="1221479477"/>
        <w:rPr>
          <w:rFonts w:eastAsia="Times New Roman"/>
        </w:rPr>
      </w:pPr>
      <w:r>
        <w:rPr>
          <w:rFonts w:eastAsia="Times New Roman"/>
        </w:rPr>
        <w:t> </w:t>
      </w:r>
    </w:p>
    <w:p w:rsidR="00000000" w:rsidRDefault="00C24452">
      <w:pPr>
        <w:shd w:val="clear" w:color="auto" w:fill="C8C8C8"/>
        <w:jc w:val="center"/>
        <w:divId w:val="605843290"/>
        <w:rPr>
          <w:rFonts w:eastAsia="Times New Roman"/>
          <w:b/>
          <w:bCs/>
        </w:rPr>
      </w:pPr>
      <w:r>
        <w:rPr>
          <w:rFonts w:eastAsia="Times New Roman"/>
          <w:b/>
          <w:bCs/>
        </w:rPr>
        <w:t>EUDL PERFORMANCE MEASURE KEY</w:t>
      </w:r>
    </w:p>
    <w:p w:rsidR="00000000" w:rsidRDefault="00C24452">
      <w:pPr>
        <w:shd w:val="clear" w:color="auto" w:fill="C8C8C8"/>
        <w:divId w:val="605843290"/>
        <w:rPr>
          <w:rFonts w:eastAsia="Times New Roman"/>
        </w:rPr>
      </w:pPr>
      <w:r>
        <w:rPr>
          <w:rStyle w:val="Strong"/>
          <w:rFonts w:eastAsia="Times New Roman"/>
        </w:rPr>
        <w:t>Short-Term = Occurs during or by the end of the program</w:t>
      </w:r>
      <w:r>
        <w:rPr>
          <w:rFonts w:eastAsia="Times New Roman"/>
          <w:b/>
          <w:bCs/>
        </w:rPr>
        <w:br/>
      </w:r>
      <w:r>
        <w:rPr>
          <w:rStyle w:val="Strong"/>
          <w:rFonts w:eastAsia="Times New Roman"/>
        </w:rPr>
        <w:t>Long-Term = Occurs 6 months to 1 year after program completion</w:t>
      </w:r>
      <w:r>
        <w:rPr>
          <w:rFonts w:eastAsia="Times New Roman"/>
          <w:b/>
          <w:bCs/>
        </w:rPr>
        <w:br/>
      </w:r>
      <w:r>
        <w:rPr>
          <w:rStyle w:val="Strong"/>
          <w:rFonts w:eastAsia="Times New Roman"/>
        </w:rPr>
        <w:t>Annual Term = Occurs once a year</w:t>
      </w:r>
      <w:r>
        <w:rPr>
          <w:rFonts w:eastAsia="Times New Roman"/>
          <w:b/>
          <w:bCs/>
        </w:rPr>
        <w:br/>
      </w:r>
      <w:r>
        <w:rPr>
          <w:rFonts w:eastAsia="Times New Roman"/>
          <w:b/>
          <w:bCs/>
        </w:rPr>
        <w:br/>
      </w:r>
      <w:r>
        <w:rPr>
          <w:rStyle w:val="Strong"/>
          <w:rFonts w:eastAsia="Times New Roman"/>
        </w:rPr>
        <w:t>BOLD = Mandatory measure</w:t>
      </w:r>
    </w:p>
    <w:sectPr w:rsidR="00000000">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24452">
      <w:r>
        <w:separator/>
      </w:r>
    </w:p>
  </w:endnote>
  <w:endnote w:type="continuationSeparator" w:id="0">
    <w:p w:rsidR="00000000" w:rsidRDefault="00C2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24452">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24452">
      <w:r>
        <w:separator/>
      </w:r>
    </w:p>
  </w:footnote>
  <w:footnote w:type="continuationSeparator" w:id="0">
    <w:p w:rsidR="00000000" w:rsidRDefault="00C2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SnapToGridInCell/>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24452"/>
    <w:rsid w:val="00C2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5977F2-0EED-49BF-B4B6-D1E01553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keepLines/>
    </w:pPr>
  </w:style>
  <w:style w:type="paragraph" w:styleId="NormalWeb">
    <w:name w:val="Normal (Web)"/>
    <w:basedOn w:val="Normal"/>
    <w:uiPriority w:val="99"/>
    <w:semiHidden/>
    <w:unhideWhenUsed/>
    <w:pPr>
      <w:keepLines/>
    </w:pPr>
  </w:style>
  <w:style w:type="paragraph" w:customStyle="1" w:styleId="pageheader">
    <w:name w:val="pageheader"/>
    <w:basedOn w:val="Normal"/>
    <w:pPr>
      <w:keepNext/>
      <w:keepLines/>
    </w:pPr>
    <w:rPr>
      <w:b/>
      <w:bCs/>
      <w:color w:val="003366"/>
      <w:sz w:val="28"/>
      <w:szCs w:val="28"/>
    </w:rPr>
  </w:style>
  <w:style w:type="paragraph" w:customStyle="1" w:styleId="pagesubheader">
    <w:name w:val="pagesubheader"/>
    <w:basedOn w:val="Normal"/>
    <w:pPr>
      <w:keepNext/>
      <w:keepLines/>
    </w:pPr>
    <w:rPr>
      <w:b/>
      <w:bCs/>
      <w:color w:val="003366"/>
      <w:sz w:val="26"/>
      <w:szCs w:val="26"/>
    </w:rPr>
  </w:style>
  <w:style w:type="paragraph" w:customStyle="1" w:styleId="tableheader">
    <w:name w:val="tableheader"/>
    <w:basedOn w:val="Normal"/>
    <w:pPr>
      <w:keepNext/>
      <w:keepLines/>
    </w:p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3290">
      <w:marLeft w:val="0"/>
      <w:marRight w:val="0"/>
      <w:marTop w:val="0"/>
      <w:marBottom w:val="0"/>
      <w:divBdr>
        <w:top w:val="single" w:sz="6" w:space="4" w:color="000000"/>
        <w:left w:val="single" w:sz="6" w:space="4" w:color="000000"/>
        <w:bottom w:val="single" w:sz="6" w:space="4" w:color="000000"/>
        <w:right w:val="single" w:sz="6" w:space="4" w:color="000000"/>
      </w:divBdr>
    </w:div>
    <w:div w:id="1221479477">
      <w:marLeft w:val="0"/>
      <w:marRight w:val="0"/>
      <w:marTop w:val="0"/>
      <w:marBottom w:val="0"/>
      <w:divBdr>
        <w:top w:val="none" w:sz="0" w:space="0" w:color="auto"/>
        <w:left w:val="none" w:sz="0" w:space="0" w:color="auto"/>
        <w:bottom w:val="none" w:sz="0" w:space="0" w:color="auto"/>
        <w:right w:val="none" w:sz="0" w:space="0" w:color="auto"/>
      </w:divBdr>
    </w:div>
    <w:div w:id="2005861999">
      <w:marLeft w:val="0"/>
      <w:marRight w:val="0"/>
      <w:marTop w:val="0"/>
      <w:marBottom w:val="0"/>
      <w:divBdr>
        <w:top w:val="none" w:sz="0" w:space="0" w:color="auto"/>
        <w:left w:val="none" w:sz="0" w:space="0" w:color="auto"/>
        <w:bottom w:val="none" w:sz="0" w:space="0" w:color="auto"/>
        <w:right w:val="none" w:sz="0" w:space="0" w:color="auto"/>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OJJDP Performance Measures for Enforcing Underage Drinking Laws Block Grant Program - PC Education, Training and Other ActivitiesIf (2) appears above, select (2) to view additional questions in that section.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Performance Measures for Enforcing Underage Drinking Laws Block Grant Program - PC Education, Training and Other ActivitiesIf (2) appears above, select (2) to view additional questions in that section.</dc:title>
  <dc:subject/>
  <dc:creator>Betancourt, Leah</dc:creator>
  <cp:keywords/>
  <dc:description/>
  <cp:lastModifiedBy>Betancourt, Leah</cp:lastModifiedBy>
  <cp:revision>2</cp:revision>
  <dcterms:created xsi:type="dcterms:W3CDTF">2021-07-22T13:47:00Z</dcterms:created>
  <dcterms:modified xsi:type="dcterms:W3CDTF">2021-07-22T13:47:00Z</dcterms:modified>
</cp:coreProperties>
</file>